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596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2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E FOURNIL DE MARI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Rue Lavoisier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Centre commercial Kennedy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