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50063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FL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FJ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 simplifiée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17/03/2026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AGENCE BARRAQUE IMMOBILIER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SAS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/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12 avenue Ernest Cazenave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64110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JURANCON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