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A829" w14:textId="77777777" w:rsidR="000179E9" w:rsidRDefault="000179E9" w:rsidP="000179E9">
      <w:pPr>
        <w:ind w:left="-993" w:right="-993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EA4A0D8" wp14:editId="0CBB680C">
            <wp:extent cx="2524125" cy="1219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7321E" w14:textId="77777777" w:rsidR="000942D2" w:rsidRPr="000A61D6" w:rsidRDefault="000179E9" w:rsidP="000942D2">
      <w:pPr>
        <w:ind w:left="851" w:right="-993"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41480/</w:t>
      </w:r>
      <w:r w:rsidR="000942D2" w:rsidRPr="000A61D6">
        <w:rPr>
          <w:rFonts w:ascii="Arial" w:hAnsi="Arial" w:cs="Arial"/>
          <w:sz w:val="16"/>
          <w:szCs w:val="16"/>
        </w:rPr>
        <w:t>DB/CL</w:t>
      </w:r>
      <w:r w:rsidR="000942D2" w:rsidRPr="000A61D6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14:paraId="1F0A813E" w14:textId="77777777" w:rsidR="000942D2" w:rsidRPr="000A61D6" w:rsidRDefault="00812324" w:rsidP="000942D2">
      <w:pPr>
        <w:ind w:left="851" w:right="-993"/>
        <w:jc w:val="right"/>
        <w:rPr>
          <w:rFonts w:ascii="Arial" w:hAnsi="Arial" w:cs="Arial"/>
          <w:sz w:val="16"/>
          <w:szCs w:val="16"/>
        </w:rPr>
      </w:pPr>
      <w:r w:rsidRPr="000A61D6">
        <w:rPr>
          <w:rFonts w:ascii="Arial" w:hAnsi="Arial" w:cs="Arial"/>
          <w:sz w:val="16"/>
          <w:szCs w:val="16"/>
        </w:rPr>
        <w:t>N° du greffe : 4158371</w:t>
      </w:r>
    </w:p>
    <w:p w14:paraId="710CE0EA" w14:textId="77777777" w:rsidR="006138F0" w:rsidRPr="000A61D6" w:rsidRDefault="006138F0" w:rsidP="006138F0">
      <w:pPr>
        <w:ind w:left="-851" w:right="-993"/>
        <w:rPr>
          <w:rFonts w:ascii="Arial" w:hAnsi="Arial" w:cs="Arial"/>
          <w:b/>
          <w:bCs/>
          <w:u w:val="single"/>
        </w:rPr>
      </w:pPr>
      <w:r w:rsidRPr="000A61D6">
        <w:rPr>
          <w:rFonts w:ascii="Arial" w:hAnsi="Arial" w:cs="Arial"/>
          <w:b/>
          <w:bCs/>
          <w:u w:val="single"/>
        </w:rPr>
        <w:t>Tribunal de Commerce de PAU</w:t>
      </w:r>
    </w:p>
    <w:p w14:paraId="161D7675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 xml:space="preserve">Liquidation Judiciaire </w:t>
      </w:r>
    </w:p>
    <w:p w14:paraId="03562D51" w14:textId="77777777" w:rsidR="006138F0" w:rsidRPr="000A61D6" w:rsidRDefault="00DF65EF" w:rsidP="006138F0">
      <w:pPr>
        <w:ind w:lef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138F0" w:rsidRPr="000A61D6">
        <w:rPr>
          <w:rFonts w:ascii="Arial" w:hAnsi="Arial" w:cs="Arial"/>
          <w:b/>
          <w:bCs/>
        </w:rPr>
        <w:t xml:space="preserve">EURL DTX </w:t>
      </w:r>
    </w:p>
    <w:p w14:paraId="1C15227E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>16, Avenue d'Attigny  64000 PAU</w:t>
      </w:r>
    </w:p>
    <w:p w14:paraId="71D8F9BD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kern w:val="2"/>
        </w:rPr>
        <w:t xml:space="preserve">Transports public routier de marchandises avec des véhicules de moins de trois tonnes </w:t>
      </w:r>
      <w:proofErr w:type="spellStart"/>
      <w:r w:rsidRPr="000A61D6">
        <w:rPr>
          <w:rFonts w:ascii="Arial" w:hAnsi="Arial" w:cs="Arial"/>
          <w:b/>
          <w:kern w:val="2"/>
        </w:rPr>
        <w:t>cind</w:t>
      </w:r>
      <w:proofErr w:type="spellEnd"/>
      <w:r w:rsidRPr="000A61D6">
        <w:rPr>
          <w:rFonts w:ascii="Arial" w:hAnsi="Arial" w:cs="Arial"/>
          <w:b/>
          <w:kern w:val="2"/>
        </w:rPr>
        <w:t>, location de véhicules industriels avec conducteur destinées au transport de marchandises avec des véhicules de moins de trois tonnes cinq</w:t>
      </w:r>
    </w:p>
    <w:p w14:paraId="2BF1A9D1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bCs/>
        </w:rPr>
        <w:t>Jugement du 06/05/2022</w:t>
      </w:r>
    </w:p>
    <w:p w14:paraId="710C8EF7" w14:textId="77777777" w:rsidR="006138F0" w:rsidRPr="000A61D6" w:rsidRDefault="006138F0" w:rsidP="006138F0">
      <w:pPr>
        <w:ind w:left="-851"/>
        <w:rPr>
          <w:rFonts w:ascii="Arial" w:hAnsi="Arial" w:cs="Arial"/>
          <w:b/>
          <w:bCs/>
        </w:rPr>
      </w:pPr>
      <w:r w:rsidRPr="000A61D6">
        <w:rPr>
          <w:rFonts w:ascii="Arial" w:hAnsi="Arial" w:cs="Arial"/>
          <w:b/>
          <w:noProof/>
        </w:rPr>
        <w:drawing>
          <wp:inline distT="0" distB="0" distL="0" distR="0" wp14:anchorId="0C93454B" wp14:editId="08D5F2D1">
            <wp:extent cx="1800225" cy="419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583FC" w14:textId="77777777" w:rsidR="000A61D6" w:rsidRPr="000A61D6" w:rsidRDefault="00C3225B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>Juge-Commissaire</w:t>
      </w:r>
      <w:r w:rsidRPr="000A61D6">
        <w:rPr>
          <w:rFonts w:ascii="Arial" w:hAnsi="Arial" w:cs="Arial"/>
          <w:b/>
          <w:bCs/>
          <w:sz w:val="20"/>
          <w:szCs w:val="20"/>
        </w:rPr>
        <w:t xml:space="preserve"> : Monsieur Marc MARTIN</w:t>
      </w:r>
    </w:p>
    <w:p w14:paraId="5F34FD89" w14:textId="77777777" w:rsidR="003D7F13" w:rsidRDefault="00C3225B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  <w:r w:rsidRPr="000A61D6">
        <w:rPr>
          <w:rFonts w:ascii="Arial" w:hAnsi="Arial" w:cs="Arial"/>
          <w:b/>
          <w:bCs/>
          <w:sz w:val="20"/>
          <w:szCs w:val="20"/>
          <w:u w:val="single"/>
        </w:rPr>
        <w:t xml:space="preserve">Liquidation Judiciaire </w:t>
      </w:r>
      <w:r w:rsidRPr="000A61D6">
        <w:rPr>
          <w:rFonts w:ascii="Arial" w:hAnsi="Arial" w:cs="Arial"/>
          <w:b/>
          <w:bCs/>
          <w:sz w:val="20"/>
          <w:szCs w:val="20"/>
        </w:rPr>
        <w:t>: SELARL EKIP’, prise en la personne de Maître François LEGRAND</w:t>
      </w:r>
    </w:p>
    <w:p w14:paraId="0EEF6A4E" w14:textId="77777777" w:rsidR="000A61D6" w:rsidRPr="000A61D6" w:rsidRDefault="000A61D6" w:rsidP="000A61D6">
      <w:pPr>
        <w:ind w:left="-851"/>
        <w:jc w:val="left"/>
        <w:rPr>
          <w:rFonts w:ascii="Arial" w:hAnsi="Arial" w:cs="Arial"/>
          <w:b/>
          <w:bCs/>
          <w:sz w:val="20"/>
          <w:szCs w:val="20"/>
        </w:rPr>
      </w:pPr>
    </w:p>
    <w:p w14:paraId="11CDFDA4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 xml:space="preserve">REQUETE AUX FINS DE PROROGATION </w:t>
      </w:r>
    </w:p>
    <w:p w14:paraId="2688451C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i/>
          <w:iCs/>
          <w:sz w:val="28"/>
          <w:szCs w:val="28"/>
        </w:rPr>
      </w:pPr>
      <w:r w:rsidRPr="000A61D6">
        <w:rPr>
          <w:rFonts w:ascii="Arial" w:hAnsi="Arial" w:cs="Arial"/>
          <w:i/>
          <w:iCs/>
          <w:sz w:val="28"/>
          <w:szCs w:val="28"/>
        </w:rPr>
        <w:t>DU DELAI DE CLOTURE</w:t>
      </w:r>
    </w:p>
    <w:p w14:paraId="54D0166B" w14:textId="77777777" w:rsidR="003D7F13" w:rsidRPr="000A61D6" w:rsidRDefault="003D7F13" w:rsidP="003D7F13">
      <w:pPr>
        <w:pBdr>
          <w:top w:val="single" w:sz="36" w:space="1" w:color="auto" w:shadow="1"/>
          <w:left w:val="single" w:sz="36" w:space="1" w:color="auto" w:shadow="1"/>
          <w:bottom w:val="single" w:sz="36" w:space="1" w:color="auto" w:shadow="1"/>
          <w:right w:val="single" w:sz="36" w:space="0" w:color="auto" w:shadow="1"/>
        </w:pBdr>
        <w:ind w:left="-851" w:right="2835"/>
        <w:jc w:val="center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C. com., art. L. 643-9 &amp; R. 643-17</w:t>
      </w:r>
    </w:p>
    <w:p w14:paraId="4DF8D924" w14:textId="77777777" w:rsidR="003D7F13" w:rsidRPr="000A61D6" w:rsidRDefault="003D7F13" w:rsidP="003D7F13">
      <w:pPr>
        <w:ind w:left="851"/>
        <w:rPr>
          <w:rFonts w:ascii="Arial" w:hAnsi="Arial" w:cs="Arial"/>
          <w:b/>
          <w:bCs/>
        </w:rPr>
      </w:pPr>
    </w:p>
    <w:p w14:paraId="5EAF24D9" w14:textId="77777777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A Mesdames et Messieurs Les Président et Juges composant le Tribunal,</w:t>
      </w:r>
    </w:p>
    <w:p w14:paraId="002592D2" w14:textId="77777777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</w:p>
    <w:p w14:paraId="3C7E2AAD" w14:textId="77777777" w:rsidR="003D7F13" w:rsidRPr="000A61D6" w:rsidRDefault="0050272E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La soussignée, SELARL EKIP’, représentée par François LEGRAND, mandataire judiciaire, domiciliée 3, Place Albert 1er BP 127, 64001 PAU CEDEX </w:t>
      </w:r>
      <w:r w:rsidR="003D7F13" w:rsidRPr="000A61D6">
        <w:rPr>
          <w:rFonts w:ascii="Arial" w:hAnsi="Arial" w:cs="Arial"/>
          <w:sz w:val="20"/>
          <w:szCs w:val="20"/>
        </w:rPr>
        <w:t>a l’honneur de vous exposer :</w:t>
      </w:r>
    </w:p>
    <w:p w14:paraId="4F380504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33254E55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Que par jugement en date du </w:t>
      </w:r>
      <w:r w:rsidR="00EB6A47" w:rsidRPr="000A61D6">
        <w:rPr>
          <w:rFonts w:ascii="Arial" w:hAnsi="Arial" w:cs="Arial"/>
          <w:sz w:val="20"/>
          <w:szCs w:val="20"/>
        </w:rPr>
        <w:t>19/10/2021</w:t>
      </w:r>
      <w:r w:rsidRPr="000A61D6">
        <w:rPr>
          <w:rFonts w:ascii="Arial" w:hAnsi="Arial" w:cs="Arial"/>
          <w:sz w:val="20"/>
          <w:szCs w:val="20"/>
        </w:rPr>
        <w:t xml:space="preserve">, le Tribunal de Commerce de PAU a prononcé la liquidation judiciaire </w:t>
      </w:r>
      <w:r w:rsidR="003959C1" w:rsidRPr="000A61D6">
        <w:rPr>
          <w:rFonts w:ascii="Arial" w:hAnsi="Arial" w:cs="Arial"/>
          <w:sz w:val="20"/>
          <w:szCs w:val="20"/>
        </w:rPr>
        <w:t>du débiteur en référence</w:t>
      </w:r>
      <w:r w:rsidRPr="000A61D6">
        <w:rPr>
          <w:rFonts w:ascii="Arial" w:hAnsi="Arial" w:cs="Arial"/>
          <w:sz w:val="20"/>
          <w:szCs w:val="20"/>
        </w:rPr>
        <w:t xml:space="preserve"> et a désigné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</w:t>
      </w:r>
      <w:r w:rsidR="00CF25FD" w:rsidRPr="000A61D6">
        <w:rPr>
          <w:rFonts w:ascii="Arial" w:hAnsi="Arial" w:cs="Arial"/>
          <w:sz w:val="20"/>
          <w:szCs w:val="20"/>
        </w:rPr>
        <w:t>l</w:t>
      </w:r>
      <w:r w:rsidRPr="000A61D6">
        <w:rPr>
          <w:rFonts w:ascii="Arial" w:hAnsi="Arial" w:cs="Arial"/>
          <w:sz w:val="20"/>
          <w:szCs w:val="20"/>
        </w:rPr>
        <w:t>iquidateur</w:t>
      </w:r>
      <w:r w:rsidR="00CF25FD" w:rsidRPr="000A61D6">
        <w:rPr>
          <w:rFonts w:ascii="Arial" w:hAnsi="Arial" w:cs="Arial"/>
          <w:sz w:val="20"/>
          <w:szCs w:val="20"/>
        </w:rPr>
        <w:t xml:space="preserve"> judiciaire</w:t>
      </w:r>
      <w:r w:rsidRPr="000A61D6">
        <w:rPr>
          <w:rFonts w:ascii="Arial" w:hAnsi="Arial" w:cs="Arial"/>
          <w:sz w:val="20"/>
          <w:szCs w:val="20"/>
        </w:rPr>
        <w:t>.</w:t>
      </w:r>
    </w:p>
    <w:p w14:paraId="393AF197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2552F81D" w14:textId="77777777" w:rsidR="003D7F13" w:rsidRPr="000A61D6" w:rsidRDefault="000179E9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Qu’il convient d’évoquer les possibilités de clôture de cette procédure.</w:t>
      </w:r>
    </w:p>
    <w:p w14:paraId="7B05243B" w14:textId="77777777" w:rsidR="006A3C9D" w:rsidRPr="000A61D6" w:rsidRDefault="006A3C9D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0F4BF861" w14:textId="77777777" w:rsidR="00C03A93" w:rsidRDefault="00C03A93" w:rsidP="00C03A93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dans le cadre de cette procédure, il a été déclaré à l’exposant</w:t>
      </w:r>
      <w:r w:rsidR="00FB3D6C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le passif suivant : </w:t>
      </w:r>
    </w:p>
    <w:p w14:paraId="04F0E70D" w14:textId="77777777" w:rsidR="00C0074A" w:rsidRDefault="00C0074A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B0C4DE"/>
          <w:left w:val="single" w:sz="6" w:space="0" w:color="B0C4DE"/>
          <w:bottom w:val="single" w:sz="6" w:space="0" w:color="B0C4DE"/>
          <w:right w:val="single" w:sz="6" w:space="0" w:color="B0C4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981"/>
        <w:gridCol w:w="1089"/>
        <w:gridCol w:w="1222"/>
        <w:gridCol w:w="981"/>
        <w:gridCol w:w="1089"/>
        <w:gridCol w:w="1145"/>
        <w:gridCol w:w="1286"/>
      </w:tblGrid>
      <w:tr w:rsidR="00C0074A" w:rsidRPr="00C0074A" w14:paraId="123D6C81" w14:textId="77777777" w:rsidTr="00C0074A"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4D6D4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noProof/>
                <w:sz w:val="17"/>
                <w:szCs w:val="17"/>
              </w:rPr>
              <w:drawing>
                <wp:inline distT="0" distB="0" distL="0" distR="0" wp14:anchorId="30338E1A" wp14:editId="44DF49E5">
                  <wp:extent cx="121920" cy="12192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24732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Super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2549C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Privilégiée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4997E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Chirographaire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17926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A échoir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182BE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Total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187FF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Provisionnelle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AF45E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Total + non déf</w:t>
            </w:r>
          </w:p>
        </w:tc>
      </w:tr>
      <w:tr w:rsidR="00C0074A" w:rsidRPr="00C0074A" w14:paraId="4B992393" w14:textId="77777777" w:rsidTr="00C0074A"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846BC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Déclaré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E8B2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23 577,01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CACAF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163 331,48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98FDD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34 066,73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0E667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26 037,71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3E47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247 012,93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FB9E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2 112,00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B167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249 124,93</w:t>
            </w:r>
          </w:p>
        </w:tc>
      </w:tr>
      <w:tr w:rsidR="00C0074A" w:rsidRPr="00C0074A" w14:paraId="6A3D8DBD" w14:textId="77777777" w:rsidTr="00C0074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6AA86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Déposé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8B4A4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23 577,01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6C8E0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163 331,48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5164A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34 066,73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4D159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26 037,71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03392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247 012,93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76C2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2 112,00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C5D8B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C0074A" w:rsidRPr="00C0074A" w14:paraId="3932CC05" w14:textId="77777777" w:rsidTr="00C0074A"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3693F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Etat des créances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96AB5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24 037,91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F6CE9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166 850,58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1E13C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34 066,73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ABCA5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26 037,71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3FDE7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250 992,93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5957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1 662,00</w:t>
            </w:r>
          </w:p>
        </w:tc>
        <w:tc>
          <w:tcPr>
            <w:tcW w:w="0" w:type="auto"/>
            <w:shd w:val="clear" w:color="auto" w:fill="FF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030F3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252 654,93</w:t>
            </w:r>
          </w:p>
        </w:tc>
      </w:tr>
      <w:tr w:rsidR="00C0074A" w:rsidRPr="00C0074A" w14:paraId="677FE2FA" w14:textId="77777777" w:rsidTr="00C0074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9AB50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Passif résiduel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E118E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24 037,91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420DF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166 850,58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DCBE6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34 066,73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41BEF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26 037,71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07072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250 992,93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6B057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1 662,00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7B4CC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252 654,93</w:t>
            </w:r>
          </w:p>
        </w:tc>
      </w:tr>
    </w:tbl>
    <w:p w14:paraId="30174A92" w14:textId="77777777" w:rsidR="00C0074A" w:rsidRDefault="00C0074A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214EBE8A" w14:textId="4DDD69A2" w:rsidR="00C0074A" w:rsidRDefault="00C0074A" w:rsidP="00C03A93">
      <w:pPr>
        <w:ind w:left="-85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le passif postérieur au jugement d’ouverture est le suivant :</w:t>
      </w:r>
    </w:p>
    <w:p w14:paraId="6CA912FC" w14:textId="77777777" w:rsidR="00C0074A" w:rsidRDefault="00C0074A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B0C4DE"/>
          <w:left w:val="single" w:sz="6" w:space="0" w:color="B0C4DE"/>
          <w:bottom w:val="single" w:sz="6" w:space="0" w:color="B0C4DE"/>
          <w:right w:val="single" w:sz="6" w:space="0" w:color="B0C4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041"/>
        <w:gridCol w:w="1089"/>
        <w:gridCol w:w="1222"/>
        <w:gridCol w:w="1089"/>
      </w:tblGrid>
      <w:tr w:rsidR="00C0074A" w:rsidRPr="00C0074A" w14:paraId="0B34352D" w14:textId="77777777" w:rsidTr="00C0074A"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BDD11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noProof/>
                <w:sz w:val="17"/>
                <w:szCs w:val="17"/>
              </w:rPr>
              <w:drawing>
                <wp:inline distT="0" distB="0" distL="0" distR="0" wp14:anchorId="368D5EC7" wp14:editId="6879D6B3">
                  <wp:extent cx="121920" cy="121920"/>
                  <wp:effectExtent l="0" t="0" r="0" b="0"/>
                  <wp:docPr id="16487036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C9371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Rang I,II,III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12DB7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Privilégiée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3B340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Chirographaire</w:t>
            </w:r>
          </w:p>
        </w:tc>
        <w:tc>
          <w:tcPr>
            <w:tcW w:w="0" w:type="auto"/>
            <w:shd w:val="clear" w:color="auto" w:fill="F8F8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07C0F" w14:textId="77777777" w:rsidR="00C0074A" w:rsidRPr="00C0074A" w:rsidRDefault="00C0074A" w:rsidP="00C0074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Total</w:t>
            </w:r>
          </w:p>
        </w:tc>
      </w:tr>
      <w:tr w:rsidR="00C0074A" w:rsidRPr="00C0074A" w14:paraId="6A243D7E" w14:textId="77777777" w:rsidTr="00C0074A"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8BE23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Enregistré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326CC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343,04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4311C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103 314,00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CC035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37 165,53</w:t>
            </w:r>
          </w:p>
        </w:tc>
        <w:tc>
          <w:tcPr>
            <w:tcW w:w="0" w:type="auto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6A492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140 822,57</w:t>
            </w:r>
          </w:p>
        </w:tc>
      </w:tr>
      <w:tr w:rsidR="00C0074A" w:rsidRPr="00C0074A" w14:paraId="458C6862" w14:textId="77777777" w:rsidTr="00C0074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7FD6B" w14:textId="77777777" w:rsidR="00C0074A" w:rsidRPr="00C0074A" w:rsidRDefault="00C0074A" w:rsidP="00C0074A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C0074A">
              <w:rPr>
                <w:rFonts w:ascii="Tahoma" w:hAnsi="Tahoma" w:cs="Tahoma"/>
                <w:sz w:val="17"/>
                <w:szCs w:val="17"/>
              </w:rPr>
              <w:t>Passif résiduel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1A1E6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343,04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CDEF4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103 314,00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20DC8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37 165,53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79502" w14:textId="77777777" w:rsidR="00C0074A" w:rsidRPr="00C0074A" w:rsidRDefault="00C0074A" w:rsidP="00C0074A">
            <w:pPr>
              <w:jc w:val="right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0074A">
              <w:rPr>
                <w:rFonts w:ascii="Tahoma" w:hAnsi="Tahoma" w:cs="Tahoma"/>
                <w:b/>
                <w:bCs/>
                <w:sz w:val="17"/>
                <w:szCs w:val="17"/>
              </w:rPr>
              <w:t>140 822,57</w:t>
            </w:r>
          </w:p>
        </w:tc>
      </w:tr>
    </w:tbl>
    <w:p w14:paraId="1503229B" w14:textId="77777777" w:rsidR="00C0074A" w:rsidRPr="000A61D6" w:rsidRDefault="00C0074A" w:rsidP="00C03A93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6D0CDA24" w14:textId="77777777" w:rsidR="00C03A93" w:rsidRPr="000A61D6" w:rsidRDefault="00C03A93" w:rsidP="00C0074A">
      <w:pPr>
        <w:jc w:val="left"/>
        <w:rPr>
          <w:rFonts w:ascii="Arial" w:hAnsi="Arial" w:cs="Arial"/>
          <w:sz w:val="20"/>
          <w:szCs w:val="20"/>
        </w:rPr>
      </w:pPr>
    </w:p>
    <w:p w14:paraId="211998B5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Que selon les dispositions de l’article L. 643-9 du Code de commerce, le Tribunal peut proroger le terme fixé par une décision motivée.</w:t>
      </w:r>
    </w:p>
    <w:p w14:paraId="6E041485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02F190E7" w14:textId="77777777" w:rsidR="00C0074A" w:rsidRDefault="00C0074A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17B41839" w14:textId="77777777" w:rsidR="00C0074A" w:rsidRDefault="00C0074A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14BBCC27" w14:textId="77777777" w:rsidR="00C0074A" w:rsidRDefault="00C0074A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52E972BC" w14:textId="77777777" w:rsidR="00C0074A" w:rsidRDefault="00C0074A" w:rsidP="00CF25FD">
      <w:pPr>
        <w:ind w:left="-851"/>
        <w:jc w:val="left"/>
        <w:rPr>
          <w:rFonts w:ascii="Arial" w:hAnsi="Arial" w:cs="Arial"/>
          <w:sz w:val="20"/>
          <w:szCs w:val="20"/>
        </w:rPr>
      </w:pPr>
    </w:p>
    <w:p w14:paraId="2D941812" w14:textId="0393A9E5" w:rsidR="003D7F13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Qu’il apparaît qu’en l’espèce, la liquidation judiciaire ne pourra être clôturée dans le délai fixé et ce, pour le motif suivant :</w:t>
      </w:r>
    </w:p>
    <w:p w14:paraId="43A524A3" w14:textId="30792655" w:rsidR="000179E9" w:rsidRPr="000A61D6" w:rsidRDefault="000179E9" w:rsidP="000179E9">
      <w:pPr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br/>
        <w:t xml:space="preserve">Jugement Tribunal de commerce de PAU 08/04/2025 </w:t>
      </w:r>
      <w:r w:rsidR="00C0074A">
        <w:rPr>
          <w:rFonts w:ascii="Arial" w:hAnsi="Arial" w:cs="Arial"/>
          <w:sz w:val="20"/>
          <w:szCs w:val="20"/>
        </w:rPr>
        <w:t>condamnant</w:t>
      </w:r>
      <w:r w:rsidRPr="000A61D6">
        <w:rPr>
          <w:rFonts w:ascii="Arial" w:hAnsi="Arial" w:cs="Arial"/>
          <w:sz w:val="20"/>
          <w:szCs w:val="20"/>
        </w:rPr>
        <w:t xml:space="preserve"> le dirigeant à payer la somme de 226</w:t>
      </w:r>
      <w:r w:rsidR="00C0074A">
        <w:rPr>
          <w:rFonts w:ascii="Arial" w:hAnsi="Arial" w:cs="Arial"/>
          <w:sz w:val="20"/>
          <w:szCs w:val="20"/>
        </w:rPr>
        <w:t>.</w:t>
      </w:r>
      <w:r w:rsidRPr="000A61D6">
        <w:rPr>
          <w:rFonts w:ascii="Arial" w:hAnsi="Arial" w:cs="Arial"/>
          <w:sz w:val="20"/>
          <w:szCs w:val="20"/>
        </w:rPr>
        <w:t>689,32 euros + 1 000 euros au titre de l'article 700</w:t>
      </w:r>
      <w:r w:rsidRPr="000A61D6">
        <w:rPr>
          <w:rFonts w:ascii="Arial" w:hAnsi="Arial" w:cs="Arial"/>
          <w:sz w:val="20"/>
          <w:szCs w:val="20"/>
        </w:rPr>
        <w:br/>
        <w:t>Appel en cours à la demande du dirigeant</w:t>
      </w:r>
    </w:p>
    <w:p w14:paraId="317B5C67" w14:textId="77777777" w:rsidR="000179E9" w:rsidRDefault="000179E9" w:rsidP="00CF25FD">
      <w:pPr>
        <w:ind w:left="-851"/>
        <w:rPr>
          <w:rFonts w:ascii="Arial" w:hAnsi="Arial" w:cs="Arial"/>
          <w:sz w:val="20"/>
          <w:szCs w:val="20"/>
        </w:rPr>
      </w:pPr>
    </w:p>
    <w:p w14:paraId="1A1B5610" w14:textId="77777777" w:rsidR="00C0074A" w:rsidRDefault="00C0074A" w:rsidP="00CF25FD">
      <w:pPr>
        <w:ind w:left="-851"/>
        <w:rPr>
          <w:rFonts w:ascii="Arial" w:hAnsi="Arial" w:cs="Arial"/>
          <w:sz w:val="20"/>
          <w:szCs w:val="20"/>
        </w:rPr>
      </w:pPr>
    </w:p>
    <w:p w14:paraId="6494B76E" w14:textId="32C06625" w:rsidR="003D7F13" w:rsidRPr="000A61D6" w:rsidRDefault="003D7F13" w:rsidP="00CF25FD">
      <w:pPr>
        <w:ind w:left="-851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>Pourquoi l’exposant</w:t>
      </w:r>
      <w:r w:rsidR="000179E9">
        <w:rPr>
          <w:rFonts w:ascii="Arial" w:hAnsi="Arial" w:cs="Arial"/>
          <w:sz w:val="20"/>
          <w:szCs w:val="20"/>
        </w:rPr>
        <w:t>e</w:t>
      </w:r>
      <w:r w:rsidRPr="000A61D6">
        <w:rPr>
          <w:rFonts w:ascii="Arial" w:hAnsi="Arial" w:cs="Arial"/>
          <w:sz w:val="20"/>
          <w:szCs w:val="20"/>
        </w:rPr>
        <w:t xml:space="preserve"> sollicite respectueusement, Mesdames &amp; Messieurs Les Présidents et Juges composant le Tribunal, bien vouloir proroger </w:t>
      </w:r>
      <w:r w:rsidR="00C0074A">
        <w:rPr>
          <w:rFonts w:ascii="Arial" w:hAnsi="Arial" w:cs="Arial"/>
          <w:sz w:val="20"/>
          <w:szCs w:val="20"/>
        </w:rPr>
        <w:t>de 12 mois</w:t>
      </w:r>
      <w:r w:rsidRPr="000A61D6">
        <w:rPr>
          <w:rFonts w:ascii="Arial" w:hAnsi="Arial" w:cs="Arial"/>
          <w:sz w:val="20"/>
          <w:szCs w:val="20"/>
        </w:rPr>
        <w:t xml:space="preserve"> l'examen de la clôture de la procédure.</w:t>
      </w:r>
    </w:p>
    <w:p w14:paraId="384DD2E6" w14:textId="77777777" w:rsidR="00153FAE" w:rsidRPr="000A61D6" w:rsidRDefault="00153FAE" w:rsidP="00CF25FD">
      <w:pPr>
        <w:ind w:left="-851"/>
        <w:rPr>
          <w:rFonts w:ascii="Arial" w:hAnsi="Arial" w:cs="Arial"/>
          <w:sz w:val="20"/>
          <w:szCs w:val="20"/>
        </w:rPr>
      </w:pPr>
    </w:p>
    <w:p w14:paraId="1CA09687" w14:textId="77777777" w:rsidR="003D7F13" w:rsidRPr="000A61D6" w:rsidRDefault="003D7F13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Fait à </w:t>
      </w:r>
      <w:r w:rsidR="003959C1" w:rsidRPr="000A61D6">
        <w:rPr>
          <w:rFonts w:ascii="Arial" w:hAnsi="Arial" w:cs="Arial"/>
          <w:sz w:val="20"/>
          <w:szCs w:val="20"/>
        </w:rPr>
        <w:t>PAU</w:t>
      </w:r>
      <w:r w:rsidRPr="000A61D6">
        <w:rPr>
          <w:rFonts w:ascii="Arial" w:hAnsi="Arial" w:cs="Arial"/>
          <w:sz w:val="20"/>
          <w:szCs w:val="20"/>
        </w:rPr>
        <w:t>, le 4 novembre 2025</w:t>
      </w:r>
    </w:p>
    <w:p w14:paraId="57BB6BC5" w14:textId="77777777" w:rsidR="00845E52" w:rsidRPr="000A61D6" w:rsidRDefault="00845E52" w:rsidP="000179E9">
      <w:pPr>
        <w:pStyle w:val="Titre1"/>
        <w:ind w:left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C223D48" w14:textId="77777777" w:rsidR="00845E52" w:rsidRPr="000A61D6" w:rsidRDefault="00845E52" w:rsidP="00CF25FD">
      <w:pPr>
        <w:pStyle w:val="Titre1"/>
        <w:ind w:left="-851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A61D6">
        <w:rPr>
          <w:rFonts w:ascii="Arial" w:hAnsi="Arial" w:cs="Arial"/>
          <w:b w:val="0"/>
          <w:bCs w:val="0"/>
          <w:sz w:val="20"/>
          <w:szCs w:val="20"/>
          <w:u w:val="none"/>
        </w:rPr>
        <w:t>SELARL EKIP’</w:t>
      </w:r>
    </w:p>
    <w:p w14:paraId="5895CF64" w14:textId="77777777" w:rsidR="003D7F13" w:rsidRDefault="00845E52" w:rsidP="00CF25FD">
      <w:pPr>
        <w:pStyle w:val="Titre1"/>
        <w:ind w:left="-851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A6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Représentée par son co-gérant </w:t>
      </w:r>
      <w:r w:rsidR="00D31C29">
        <w:rPr>
          <w:rFonts w:ascii="Arial" w:hAnsi="Arial" w:cs="Arial"/>
          <w:b w:val="0"/>
          <w:bCs w:val="0"/>
          <w:sz w:val="20"/>
          <w:szCs w:val="20"/>
          <w:u w:val="none"/>
        </w:rPr>
        <w:t>Maître François LEGRAND</w:t>
      </w:r>
    </w:p>
    <w:p w14:paraId="24D12786" w14:textId="77777777" w:rsidR="00C0074A" w:rsidRDefault="00C0074A" w:rsidP="00C0074A"/>
    <w:p w14:paraId="1077C466" w14:textId="7C6376C5" w:rsidR="00C0074A" w:rsidRPr="00C0074A" w:rsidRDefault="00C0074A" w:rsidP="00C0074A">
      <w:r w:rsidRPr="00D31C29">
        <w:rPr>
          <w:rFonts w:ascii="Arial" w:hAnsi="Arial" w:cs="Arial"/>
          <w:noProof/>
          <w:color w:val="FFFFFF" w:themeColor="background1"/>
          <w:sz w:val="20"/>
          <w:szCs w:val="20"/>
        </w:rPr>
        <w:drawing>
          <wp:inline distT="0" distB="0" distL="0" distR="0" wp14:anchorId="0ED04CFE" wp14:editId="7F757A63">
            <wp:extent cx="1476578" cy="981214"/>
            <wp:effectExtent l="0" t="0" r="0" b="0"/>
            <wp:docPr id="977913644" name="Image977913644" descr="Une image contenant fou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13644" name="Image977913644" descr="Une image contenant fouet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578" cy="9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202D" w14:textId="58E53787" w:rsidR="00D35DCA" w:rsidRPr="00D31C29" w:rsidRDefault="00D35DCA" w:rsidP="00D35DCA">
      <w:pPr>
        <w:ind w:left="-851"/>
        <w:rPr>
          <w:rFonts w:ascii="Arial" w:hAnsi="Arial" w:cs="Arial"/>
          <w:color w:val="FFFFFF" w:themeColor="background1"/>
          <w:sz w:val="20"/>
          <w:szCs w:val="20"/>
        </w:rPr>
      </w:pPr>
    </w:p>
    <w:p w14:paraId="31D90097" w14:textId="77777777" w:rsidR="00812324" w:rsidRPr="000A61D6" w:rsidRDefault="00812324" w:rsidP="000179E9">
      <w:pPr>
        <w:rPr>
          <w:rFonts w:ascii="Arial" w:hAnsi="Arial" w:cs="Arial"/>
          <w:sz w:val="20"/>
          <w:szCs w:val="20"/>
        </w:rPr>
      </w:pPr>
    </w:p>
    <w:p w14:paraId="6CF87B11" w14:textId="77777777" w:rsidR="00812324" w:rsidRPr="000A61D6" w:rsidRDefault="00812324" w:rsidP="00CF25FD">
      <w:pPr>
        <w:ind w:left="-851"/>
        <w:jc w:val="left"/>
        <w:rPr>
          <w:rFonts w:ascii="Arial" w:hAnsi="Arial" w:cs="Arial"/>
          <w:sz w:val="20"/>
          <w:szCs w:val="20"/>
        </w:rPr>
      </w:pPr>
      <w:r w:rsidRPr="000A61D6">
        <w:rPr>
          <w:rFonts w:ascii="Arial" w:hAnsi="Arial" w:cs="Arial"/>
          <w:sz w:val="20"/>
          <w:szCs w:val="20"/>
        </w:rPr>
        <w:t xml:space="preserve">Dernière adresse connue du </w:t>
      </w:r>
      <w:r w:rsidR="008546E6">
        <w:rPr>
          <w:rFonts w:ascii="Arial" w:hAnsi="Arial" w:cs="Arial"/>
          <w:sz w:val="20"/>
          <w:szCs w:val="20"/>
        </w:rPr>
        <w:t>chef d’entreprise</w:t>
      </w:r>
      <w:r w:rsidRPr="000A61D6">
        <w:rPr>
          <w:rFonts w:ascii="Arial" w:hAnsi="Arial" w:cs="Arial"/>
          <w:sz w:val="20"/>
          <w:szCs w:val="20"/>
        </w:rPr>
        <w:t> : Monsieur Manuel Paul DAPHNE 52 avenue Jean Mermoz  64000 PAU</w:t>
      </w:r>
    </w:p>
    <w:p w14:paraId="13962FB1" w14:textId="77777777" w:rsidR="00153FAE" w:rsidRPr="00651863" w:rsidRDefault="00153FAE" w:rsidP="00153FAE">
      <w:pPr>
        <w:jc w:val="center"/>
        <w:rPr>
          <w:rFonts w:ascii="Tahoma" w:hAnsi="Tahoma" w:cs="Tahoma"/>
          <w:sz w:val="48"/>
          <w:szCs w:val="48"/>
        </w:rPr>
      </w:pPr>
      <w:r w:rsidRPr="000A61D6">
        <w:rPr>
          <w:rFonts w:ascii="Arial" w:hAnsi="Arial" w:cs="Arial"/>
          <w:sz w:val="22"/>
          <w:szCs w:val="22"/>
        </w:rPr>
        <w:br w:type="page"/>
      </w:r>
      <w:r w:rsidRPr="00651863">
        <w:rPr>
          <w:rFonts w:ascii="Tahoma" w:hAnsi="Tahoma" w:cs="Tahoma"/>
          <w:sz w:val="48"/>
          <w:szCs w:val="48"/>
        </w:rPr>
        <w:lastRenderedPageBreak/>
        <w:t>Tribunal de Commerce de PAU</w:t>
      </w:r>
    </w:p>
    <w:p w14:paraId="03B05E2A" w14:textId="77777777" w:rsidR="00153FAE" w:rsidRPr="00651863" w:rsidRDefault="00153FAE" w:rsidP="00153FAE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Site des Halles 6 Place Marguerite Laborde</w:t>
      </w:r>
    </w:p>
    <w:p w14:paraId="201921F7" w14:textId="77777777" w:rsidR="00153FAE" w:rsidRPr="00651863" w:rsidRDefault="00153FAE" w:rsidP="00153FAE">
      <w:pPr>
        <w:jc w:val="center"/>
        <w:rPr>
          <w:rFonts w:ascii="Tahoma" w:hAnsi="Tahoma" w:cs="Tahoma"/>
        </w:rPr>
      </w:pPr>
      <w:r w:rsidRPr="00651863">
        <w:rPr>
          <w:rFonts w:ascii="Tahoma" w:hAnsi="Tahoma" w:cs="Tahoma"/>
        </w:rPr>
        <w:t>64000 PAU</w:t>
      </w:r>
    </w:p>
    <w:p w14:paraId="7F38B6C0" w14:textId="4A3A265A" w:rsidR="00153FAE" w:rsidRPr="00651863" w:rsidRDefault="00FF16D2" w:rsidP="00FF16D2">
      <w:pPr>
        <w:pStyle w:val="Citationintense"/>
        <w:rPr>
          <w:color w:val="auto"/>
        </w:rPr>
      </w:pPr>
      <w:r w:rsidRPr="00651863">
        <w:rPr>
          <w:rFonts w:ascii="Arial" w:hAnsi="Arial" w:cs="Arial"/>
          <w:color w:val="auto"/>
          <w:sz w:val="20"/>
          <w:szCs w:val="20"/>
        </w:rPr>
        <w:t>Audience du</w:t>
      </w:r>
      <w:r w:rsidR="004401AE">
        <w:rPr>
          <w:rFonts w:ascii="Arial" w:hAnsi="Arial" w:cs="Arial"/>
          <w:color w:val="auto"/>
          <w:sz w:val="20"/>
          <w:szCs w:val="20"/>
        </w:rPr>
        <w:t xml:space="preserve"> 07 Novembre 2025</w:t>
      </w:r>
    </w:p>
    <w:tbl>
      <w:tblPr>
        <w:tblStyle w:val="Grilledutableau"/>
        <w:tblW w:w="9828" w:type="dxa"/>
        <w:tblInd w:w="0" w:type="dxa"/>
        <w:tblLook w:val="01E0" w:firstRow="1" w:lastRow="1" w:firstColumn="1" w:lastColumn="1" w:noHBand="0" w:noVBand="0"/>
      </w:tblPr>
      <w:tblGrid>
        <w:gridCol w:w="9828"/>
      </w:tblGrid>
      <w:tr w:rsidR="00153FAE" w:rsidRPr="00651863" w14:paraId="57CC98E4" w14:textId="77777777">
        <w:tc>
          <w:tcPr>
            <w:tcW w:w="9828" w:type="dxa"/>
            <w:shd w:val="clear" w:color="auto" w:fill="E0E0E0"/>
          </w:tcPr>
          <w:p w14:paraId="3DC7E287" w14:textId="77777777" w:rsidR="00153FAE" w:rsidRPr="00651863" w:rsidRDefault="00153FAE" w:rsidP="00E276AE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  <w:p w14:paraId="384A3BC5" w14:textId="77777777" w:rsidR="00153FAE" w:rsidRPr="00651863" w:rsidRDefault="00153FAE" w:rsidP="00E276A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 xml:space="preserve">RAPPORT DU JUGE-COMMISSAIRE SUR LA </w:t>
            </w:r>
          </w:p>
          <w:p w14:paraId="12E3CF88" w14:textId="77777777" w:rsidR="00153FAE" w:rsidRPr="00651863" w:rsidRDefault="00153FAE" w:rsidP="00E276A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51863">
              <w:rPr>
                <w:rFonts w:ascii="Tahoma" w:hAnsi="Tahoma" w:cs="Tahoma"/>
                <w:sz w:val="32"/>
                <w:szCs w:val="32"/>
              </w:rPr>
              <w:t>REQUETE EN PROROGATION DE CLOTURE</w:t>
            </w:r>
          </w:p>
          <w:p w14:paraId="489D5B83" w14:textId="77777777" w:rsidR="00153FAE" w:rsidRPr="00651863" w:rsidRDefault="00153FAE" w:rsidP="00E276AE">
            <w:pPr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14:paraId="5F1236AC" w14:textId="77777777" w:rsidR="00153FAE" w:rsidRPr="00651863" w:rsidRDefault="00153FAE" w:rsidP="00153FAE">
      <w:pPr>
        <w:ind w:left="1134"/>
        <w:jc w:val="left"/>
        <w:rPr>
          <w:sz w:val="32"/>
          <w:szCs w:val="32"/>
        </w:rPr>
      </w:pPr>
    </w:p>
    <w:p w14:paraId="58C84823" w14:textId="77777777" w:rsidR="00153FAE" w:rsidRPr="00651863" w:rsidRDefault="00153FAE" w:rsidP="00153FAE">
      <w:pPr>
        <w:ind w:leftChars="100" w:left="240"/>
        <w:jc w:val="left"/>
      </w:pPr>
      <w:r w:rsidRPr="00651863">
        <w:t>NOUS, Marc MARTIN, Juge-Commissaire de la procédure de Liquidation Judiciaire ouverte à l’égard de :  EURL DTX,</w:t>
      </w:r>
    </w:p>
    <w:p w14:paraId="168456E3" w14:textId="77777777" w:rsidR="00153FAE" w:rsidRPr="00651863" w:rsidRDefault="00153FAE" w:rsidP="00153FAE">
      <w:pPr>
        <w:ind w:leftChars="100" w:left="240"/>
        <w:jc w:val="left"/>
      </w:pPr>
    </w:p>
    <w:p w14:paraId="6E05F2B7" w14:textId="77777777" w:rsidR="00153FAE" w:rsidRPr="00651863" w:rsidRDefault="00153FAE" w:rsidP="00153FAE">
      <w:pPr>
        <w:ind w:leftChars="100" w:left="240"/>
        <w:jc w:val="left"/>
      </w:pPr>
      <w:r w:rsidRPr="00651863">
        <w:t>VU la requête en prorogation de clôture présentée par le mandataire judiciaire,</w:t>
      </w:r>
    </w:p>
    <w:p w14:paraId="753D55C8" w14:textId="77777777" w:rsidR="00153FAE" w:rsidRPr="00651863" w:rsidRDefault="00153FAE" w:rsidP="00153FAE">
      <w:pPr>
        <w:ind w:leftChars="100" w:left="240"/>
        <w:jc w:val="left"/>
      </w:pPr>
    </w:p>
    <w:p w14:paraId="4D10CADF" w14:textId="77777777" w:rsidR="00153FAE" w:rsidRPr="00651863" w:rsidRDefault="00153FAE" w:rsidP="00153FAE">
      <w:pPr>
        <w:ind w:leftChars="100" w:left="240"/>
        <w:jc w:val="left"/>
      </w:pPr>
      <w:r w:rsidRPr="00651863">
        <w:t xml:space="preserve">VU les dispositions de l’article R. </w:t>
      </w:r>
      <w:r w:rsidR="00DD78C6" w:rsidRPr="00651863">
        <w:t>643-17</w:t>
      </w:r>
      <w:r w:rsidRPr="00651863">
        <w:t xml:space="preserve"> et L. 643-9 du Code de commerce,</w:t>
      </w:r>
    </w:p>
    <w:p w14:paraId="1843B889" w14:textId="77777777" w:rsidR="00153FAE" w:rsidRPr="00651863" w:rsidRDefault="00153FAE" w:rsidP="00153FAE">
      <w:pPr>
        <w:ind w:leftChars="100" w:left="240"/>
        <w:jc w:val="left"/>
      </w:pPr>
    </w:p>
    <w:p w14:paraId="790B2C58" w14:textId="77777777" w:rsidR="00153FAE" w:rsidRPr="00651863" w:rsidRDefault="00153FAE" w:rsidP="00153FAE">
      <w:pPr>
        <w:ind w:leftChars="100" w:left="240"/>
        <w:jc w:val="left"/>
      </w:pPr>
      <w:r w:rsidRPr="00651863">
        <w:t>ATTENDU que le Tribunal doit se réunir pour statuer sur la prorogation de la clôture de la procédure en liquidation judiciaire,</w:t>
      </w:r>
    </w:p>
    <w:p w14:paraId="3CB11E3C" w14:textId="77777777" w:rsidR="00153FAE" w:rsidRPr="00651863" w:rsidRDefault="00153FAE" w:rsidP="00153FAE">
      <w:pPr>
        <w:ind w:leftChars="100" w:left="240"/>
        <w:jc w:val="left"/>
      </w:pPr>
    </w:p>
    <w:p w14:paraId="71E1BDC8" w14:textId="77777777" w:rsidR="00153FAE" w:rsidRPr="00651863" w:rsidRDefault="00153FAE" w:rsidP="00153FAE">
      <w:pPr>
        <w:ind w:leftChars="100" w:left="240"/>
        <w:jc w:val="left"/>
      </w:pPr>
      <w:r w:rsidRPr="00651863">
        <w:t>SOMMES d’avis que :</w:t>
      </w:r>
    </w:p>
    <w:p w14:paraId="7C3AA7A0" w14:textId="77777777" w:rsidR="00153FAE" w:rsidRPr="00651863" w:rsidRDefault="00153FAE" w:rsidP="00153FAE">
      <w:pPr>
        <w:ind w:leftChars="100" w:left="240"/>
        <w:jc w:val="left"/>
      </w:pPr>
    </w:p>
    <w:p w14:paraId="713D9CA2" w14:textId="77777777" w:rsidR="00153FAE" w:rsidRPr="00651863" w:rsidRDefault="00153FAE" w:rsidP="00153FAE">
      <w:pPr>
        <w:ind w:leftChars="100" w:left="24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>la clôture de la procédure collective soit prorogée ;</w:t>
      </w:r>
    </w:p>
    <w:p w14:paraId="63AEE843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48114475" w14:textId="77777777" w:rsidR="00153FAE" w:rsidRPr="00651863" w:rsidRDefault="00153FAE" w:rsidP="00153FAE">
      <w:pPr>
        <w:numPr>
          <w:ilvl w:val="0"/>
          <w:numId w:val="1"/>
        </w:numPr>
        <w:jc w:val="left"/>
      </w:pPr>
      <w:r w:rsidRPr="00651863">
        <w:t>la clôture soit prononcée ;</w:t>
      </w:r>
    </w:p>
    <w:p w14:paraId="597C087B" w14:textId="77777777" w:rsidR="00153FAE" w:rsidRPr="00651863" w:rsidRDefault="00153FAE" w:rsidP="00153FAE">
      <w:pPr>
        <w:jc w:val="left"/>
      </w:pPr>
    </w:p>
    <w:p w14:paraId="065E3792" w14:textId="77777777" w:rsidR="00153FAE" w:rsidRPr="00651863" w:rsidRDefault="00153FAE" w:rsidP="00153FAE">
      <w:pPr>
        <w:ind w:leftChars="100" w:left="240" w:firstLine="468"/>
        <w:jc w:val="left"/>
      </w:pPr>
      <w:r w:rsidRPr="00651863">
        <w:rPr>
          <w:sz w:val="36"/>
          <w:szCs w:val="36"/>
        </w:rPr>
        <w:sym w:font="Wingdings" w:char="F071"/>
      </w:r>
      <w:r w:rsidRPr="00651863">
        <w:rPr>
          <w:sz w:val="32"/>
          <w:szCs w:val="32"/>
        </w:rPr>
        <w:t xml:space="preserve">  </w:t>
      </w:r>
      <w:r w:rsidRPr="00651863">
        <w:t xml:space="preserve">autre : </w:t>
      </w:r>
    </w:p>
    <w:p w14:paraId="67868A31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2F7075CF" w14:textId="77777777" w:rsidR="00153FAE" w:rsidRPr="00651863" w:rsidRDefault="00153FAE" w:rsidP="00153FAE">
      <w:pPr>
        <w:ind w:leftChars="100" w:left="240"/>
        <w:jc w:val="left"/>
        <w:rPr>
          <w:sz w:val="32"/>
          <w:szCs w:val="32"/>
        </w:rPr>
      </w:pPr>
    </w:p>
    <w:p w14:paraId="08645148" w14:textId="77777777" w:rsidR="00153FAE" w:rsidRPr="00651863" w:rsidRDefault="00153FAE" w:rsidP="00153FAE">
      <w:pPr>
        <w:ind w:leftChars="100" w:left="240"/>
        <w:jc w:val="left"/>
      </w:pPr>
      <w:r w:rsidRPr="00651863">
        <w:t xml:space="preserve">FAIT en notre Cabinet le </w:t>
      </w:r>
    </w:p>
    <w:p w14:paraId="0B8EEAC9" w14:textId="77777777" w:rsidR="00153FAE" w:rsidRPr="00651863" w:rsidRDefault="00153FAE" w:rsidP="00153FAE">
      <w:pPr>
        <w:ind w:leftChars="100" w:left="240"/>
        <w:jc w:val="left"/>
      </w:pPr>
    </w:p>
    <w:p w14:paraId="04D1DA45" w14:textId="77777777" w:rsidR="00153FAE" w:rsidRPr="00651863" w:rsidRDefault="00153FAE" w:rsidP="00153FAE">
      <w:pPr>
        <w:ind w:leftChars="100" w:left="240"/>
        <w:jc w:val="left"/>
      </w:pPr>
      <w:r w:rsidRPr="00651863">
        <w:t>Marc MARTIN</w:t>
      </w:r>
    </w:p>
    <w:p w14:paraId="01AF33DB" w14:textId="77777777" w:rsidR="00153FAE" w:rsidRPr="00651863" w:rsidRDefault="00153FAE" w:rsidP="00153FAE">
      <w:pPr>
        <w:ind w:leftChars="100" w:left="240"/>
        <w:jc w:val="left"/>
      </w:pPr>
      <w:r w:rsidRPr="00651863">
        <w:t>Juge-Commissaire</w:t>
      </w:r>
    </w:p>
    <w:p w14:paraId="3965012C" w14:textId="77777777" w:rsidR="00153FAE" w:rsidRPr="00651863" w:rsidRDefault="00153FAE" w:rsidP="00153FAE"/>
    <w:p w14:paraId="72EAB9B1" w14:textId="77777777" w:rsidR="00153FAE" w:rsidRPr="00651863" w:rsidRDefault="00153FAE" w:rsidP="00153FAE"/>
    <w:p w14:paraId="31E2C1CC" w14:textId="77777777" w:rsidR="00153FAE" w:rsidRPr="00651863" w:rsidRDefault="00153FAE" w:rsidP="00153FAE"/>
    <w:p w14:paraId="63318ABF" w14:textId="77777777" w:rsidR="00514EE3" w:rsidRPr="00651863" w:rsidRDefault="00514EE3"/>
    <w:sectPr w:rsidR="00514EE3" w:rsidRPr="00651863" w:rsidSect="00845E52">
      <w:pgSz w:w="11906" w:h="16838"/>
      <w:pgMar w:top="539" w:right="1417" w:bottom="568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3A24"/>
    <w:multiLevelType w:val="hybridMultilevel"/>
    <w:tmpl w:val="B4641246"/>
    <w:lvl w:ilvl="0" w:tplc="B5EEF5E4">
      <w:start w:val="27"/>
      <w:numFmt w:val="bullet"/>
      <w:lvlText w:val=""/>
      <w:lvlJc w:val="left"/>
      <w:pPr>
        <w:tabs>
          <w:tab w:val="num" w:pos="1188"/>
        </w:tabs>
        <w:ind w:left="1188" w:hanging="480"/>
      </w:pPr>
      <w:rPr>
        <w:rFonts w:ascii="Wingdings" w:eastAsia="Times New Roman" w:hAnsi="Wingdings" w:hint="default"/>
        <w:sz w:val="36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5135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F13"/>
    <w:rsid w:val="000179E9"/>
    <w:rsid w:val="000942D2"/>
    <w:rsid w:val="000A26A9"/>
    <w:rsid w:val="000A61D6"/>
    <w:rsid w:val="000D72AA"/>
    <w:rsid w:val="00153FAE"/>
    <w:rsid w:val="001624D1"/>
    <w:rsid w:val="001F4B6F"/>
    <w:rsid w:val="001F6D85"/>
    <w:rsid w:val="002A223B"/>
    <w:rsid w:val="002F7FFC"/>
    <w:rsid w:val="003029EA"/>
    <w:rsid w:val="00305103"/>
    <w:rsid w:val="003959C1"/>
    <w:rsid w:val="00396628"/>
    <w:rsid w:val="003B7617"/>
    <w:rsid w:val="003C7AE8"/>
    <w:rsid w:val="003D7F13"/>
    <w:rsid w:val="00433BA9"/>
    <w:rsid w:val="004401AE"/>
    <w:rsid w:val="00485FF3"/>
    <w:rsid w:val="0050272E"/>
    <w:rsid w:val="00514EE3"/>
    <w:rsid w:val="005C54E9"/>
    <w:rsid w:val="005C5516"/>
    <w:rsid w:val="006138F0"/>
    <w:rsid w:val="006224AC"/>
    <w:rsid w:val="00637E56"/>
    <w:rsid w:val="00651863"/>
    <w:rsid w:val="006A3C9D"/>
    <w:rsid w:val="007A6BC9"/>
    <w:rsid w:val="007C3FD8"/>
    <w:rsid w:val="008037CC"/>
    <w:rsid w:val="0081145F"/>
    <w:rsid w:val="00812324"/>
    <w:rsid w:val="00826CF1"/>
    <w:rsid w:val="008340BC"/>
    <w:rsid w:val="00845E52"/>
    <w:rsid w:val="008546E6"/>
    <w:rsid w:val="008668A9"/>
    <w:rsid w:val="00882994"/>
    <w:rsid w:val="00976488"/>
    <w:rsid w:val="00A02AC6"/>
    <w:rsid w:val="00A5411E"/>
    <w:rsid w:val="00AD4273"/>
    <w:rsid w:val="00B06650"/>
    <w:rsid w:val="00B67F81"/>
    <w:rsid w:val="00BF7AD1"/>
    <w:rsid w:val="00C0074A"/>
    <w:rsid w:val="00C03A93"/>
    <w:rsid w:val="00C3225B"/>
    <w:rsid w:val="00C361BB"/>
    <w:rsid w:val="00CA4702"/>
    <w:rsid w:val="00CD672A"/>
    <w:rsid w:val="00CF25FD"/>
    <w:rsid w:val="00D2392A"/>
    <w:rsid w:val="00D31C29"/>
    <w:rsid w:val="00D35DCA"/>
    <w:rsid w:val="00D663F2"/>
    <w:rsid w:val="00DC3581"/>
    <w:rsid w:val="00DD78C6"/>
    <w:rsid w:val="00DF65EF"/>
    <w:rsid w:val="00E276AE"/>
    <w:rsid w:val="00E844E7"/>
    <w:rsid w:val="00EB6A47"/>
    <w:rsid w:val="00F04530"/>
    <w:rsid w:val="00F17BD8"/>
    <w:rsid w:val="00FB3D6C"/>
    <w:rsid w:val="00FB7082"/>
    <w:rsid w:val="00FC5A28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C73DD"/>
  <w14:defaultImageDpi w14:val="0"/>
  <w15:docId w15:val="{EC241057-90F8-42B3-AA64-05380DDB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E9"/>
    <w:pPr>
      <w:spacing w:after="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D7F13"/>
    <w:pPr>
      <w:keepNext/>
      <w:ind w:left="851"/>
      <w:jc w:val="left"/>
      <w:outlineLvl w:val="0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99"/>
    <w:rsid w:val="003D7F13"/>
    <w:pPr>
      <w:spacing w:after="0" w:line="240" w:lineRule="auto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6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FF16D2"/>
    <w:rPr>
      <w:rFonts w:cs="Times New Roman"/>
      <w:i/>
      <w:iCs/>
      <w:color w:val="5B9BD5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D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$</vt:lpstr>
    </vt:vector>
  </TitlesOfParts>
  <Company>SELARL François LEGRAND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</dc:title>
  <dc:subject/>
  <dc:creator>François LEGRAND</dc:creator>
  <cp:keywords/>
  <dc:description/>
  <cp:lastModifiedBy>Daniele Blaszczyk</cp:lastModifiedBy>
  <cp:revision>29</cp:revision>
  <dcterms:created xsi:type="dcterms:W3CDTF">2015-04-23T17:13:00Z</dcterms:created>
  <dcterms:modified xsi:type="dcterms:W3CDTF">2025-11-04T08:30:00Z</dcterms:modified>
</cp:coreProperties>
</file>