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0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46753/</w:t>
    </w:r>
    <w:r>
      <w:rPr>
        <w:sz w:val="16"/>
        <w:szCs w:val="16"/>
      </w:rPr>
      <w:t>CM</w:t>
    </w:r>
    <w:r w:rsidR="004A4708">
      <w:rPr>
        <w:sz w:val="16"/>
        <w:szCs w:val="16"/>
      </w:rPr>
      <w:t>/FJ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03/12/2024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BLACK BEARN SAS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 rue de l'Egalité  64510 ASSAT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