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0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45910/</w:t>
    </w:r>
    <w:r>
      <w:rPr>
        <w:sz w:val="16"/>
        <w:szCs w:val="16"/>
      </w:rPr>
      <w:t>CM</w:t>
    </w:r>
    <w:r w:rsidR="004A4708">
      <w:rPr>
        <w:sz w:val="16"/>
        <w:szCs w:val="16"/>
      </w:rPr>
      <w:t>/FJ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Simplifiée du </w:t>
    </w:r>
    <w:r w:rsidRPr="00AE075B">
      <w:rPr>
        <w:rFonts w:ascii="Arial" w:hAnsi="Arial" w:cs="Arial"/>
        <w:sz w:val="16"/>
        <w:szCs w:val="16"/>
      </w:rPr>
      <w:t>02/07/2024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VALALEX SNC </w:t>
    </w:r>
    <w:r w:rsidRPr="002D6D35">
      <w:rPr>
        <w:rFonts w:ascii="Arial" w:hAnsi="Arial" w:cs="Arial"/>
        <w:i/>
        <w:iCs/>
        <w:sz w:val="16"/>
        <w:szCs w:val="16"/>
      </w:rPr>
      <w:t>TABAC PRESSE LE ROND POINT</w:t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Avenue Alfred Nobel Centre Commercial 64000 PAU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