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BDC" w:rsidRPr="00C610C7" w:rsidRDefault="00BD0BDC" w:rsidP="00A64909">
      <w:pPr>
        <w:jc w:val="both"/>
        <w:rPr>
          <w:rFonts w:ascii="Arial" w:hAnsi="Arial" w:cs="Arial"/>
          <w:b/>
          <w:bCs/>
          <w:sz w:val="22"/>
          <w:szCs w:val="22"/>
          <w:u w:val="single"/>
        </w:rPr>
      </w:pP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 xml:space="preserve">CONDITIONS DE CESSION </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DES ELEMENTS SUBSISTANT DU FONDS DE COMMERCE</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tabs>
          <w:tab w:val="left" w:pos="7800"/>
        </w:tabs>
        <w:rPr>
          <w:rFonts w:ascii="Arial" w:hAnsi="Arial" w:cs="Arial"/>
          <w:smallCaps/>
          <w:color w:val="0070C0"/>
          <w:sz w:val="22"/>
        </w:rPr>
      </w:pPr>
      <w:r w:rsidRPr="00C610C7">
        <w:rPr>
          <w:rFonts w:ascii="Arial" w:hAnsi="Arial" w:cs="Arial"/>
          <w:smallCaps/>
          <w:color w:val="0070C0"/>
          <w:sz w:val="22"/>
        </w:rPr>
        <w:t>SARLU HEGALDIA</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(ARTICLE L.642-19 DU CODE DE COMMERCE)</w:t>
      </w:r>
    </w:p>
    <w:p w:rsidR="00BD0BDC" w:rsidRDefault="00BD0BDC" w:rsidP="00A64909">
      <w:pPr>
        <w:jc w:val="both"/>
        <w:rPr>
          <w:rFonts w:ascii="Arial" w:hAnsi="Arial" w:cs="Arial"/>
          <w:b/>
          <w:bCs/>
          <w:sz w:val="22"/>
          <w:szCs w:val="22"/>
          <w:u w:val="single"/>
        </w:rPr>
      </w:pPr>
    </w:p>
    <w:p w:rsidR="00C610C7" w:rsidRDefault="00C610C7" w:rsidP="00A64909">
      <w:pPr>
        <w:jc w:val="both"/>
        <w:rPr>
          <w:rFonts w:ascii="Arial" w:hAnsi="Arial" w:cs="Arial"/>
          <w:b/>
          <w:bCs/>
          <w:sz w:val="22"/>
          <w:szCs w:val="22"/>
          <w:u w:val="single"/>
        </w:rPr>
      </w:pPr>
    </w:p>
    <w:p w:rsidR="00D80E64" w:rsidRPr="00C610C7" w:rsidRDefault="00D80E64" w:rsidP="00A64909">
      <w:pPr>
        <w:jc w:val="both"/>
        <w:rPr>
          <w:rFonts w:ascii="Arial" w:hAnsi="Arial" w:cs="Arial"/>
          <w:b/>
          <w:bCs/>
          <w:smallCaps/>
          <w:sz w:val="22"/>
          <w:szCs w:val="22"/>
          <w:u w:val="single"/>
        </w:rPr>
      </w:pPr>
      <w:r w:rsidRPr="00C610C7">
        <w:rPr>
          <w:rFonts w:ascii="Arial" w:hAnsi="Arial" w:cs="Arial"/>
          <w:b/>
          <w:bCs/>
          <w:smallCaps/>
          <w:sz w:val="22"/>
          <w:szCs w:val="22"/>
          <w:u w:val="single"/>
        </w:rPr>
        <w:t>Article 1</w:t>
      </w:r>
      <w:r w:rsidR="00AC5E06" w:rsidRPr="00C610C7">
        <w:rPr>
          <w:rFonts w:ascii="Arial" w:hAnsi="Arial" w:cs="Arial"/>
          <w:b/>
          <w:bCs/>
          <w:smallCaps/>
          <w:sz w:val="22"/>
          <w:szCs w:val="22"/>
          <w:u w:val="single"/>
          <w:vertAlign w:val="superscript"/>
        </w:rPr>
        <w:t>er</w:t>
      </w:r>
      <w:r w:rsidR="00AC5E06" w:rsidRPr="00C610C7">
        <w:rPr>
          <w:rFonts w:ascii="Arial" w:hAnsi="Arial" w:cs="Arial"/>
          <w:b/>
          <w:bCs/>
          <w:smallCaps/>
          <w:sz w:val="22"/>
          <w:szCs w:val="22"/>
          <w:u w:val="single"/>
        </w:rPr>
        <w:t xml:space="preserve"> </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désignation</w:t>
      </w:r>
    </w:p>
    <w:p w:rsidR="00D80E64" w:rsidRPr="00C610C7" w:rsidRDefault="00D80E64" w:rsidP="00A64909">
      <w:pPr>
        <w:jc w:val="both"/>
        <w:rPr>
          <w:rFonts w:ascii="Arial" w:hAnsi="Arial" w:cs="Arial"/>
          <w:b/>
          <w:bCs/>
          <w:smallCaps/>
          <w:sz w:val="22"/>
          <w:szCs w:val="22"/>
          <w:u w:val="single"/>
        </w:rPr>
      </w:pPr>
    </w:p>
    <w:p w:rsidR="00D80E64" w:rsidRPr="00C610C7" w:rsidRDefault="00D80E64" w:rsidP="007B3DE4">
      <w:pPr>
        <w:ind w:left="567"/>
        <w:jc w:val="both"/>
        <w:rPr>
          <w:rFonts w:ascii="Arial" w:hAnsi="Arial" w:cs="Arial"/>
          <w:b/>
          <w:bCs/>
          <w:smallCaps/>
          <w:sz w:val="22"/>
          <w:szCs w:val="22"/>
          <w:u w:val="single"/>
        </w:rPr>
      </w:pPr>
      <w:r w:rsidRPr="00C610C7">
        <w:rPr>
          <w:rFonts w:ascii="Arial" w:hAnsi="Arial" w:cs="Arial"/>
          <w:b/>
          <w:bCs/>
          <w:smallCaps/>
          <w:sz w:val="22"/>
          <w:szCs w:val="22"/>
          <w:u w:val="single"/>
        </w:rPr>
        <w:t>perimetre de la cession</w:t>
      </w:r>
    </w:p>
    <w:p w:rsidR="00D80E64" w:rsidRPr="00C610C7" w:rsidRDefault="00D80E64" w:rsidP="00B036AD">
      <w:pPr>
        <w:widowControl w:val="0"/>
        <w:autoSpaceDE w:val="0"/>
        <w:autoSpaceDN w:val="0"/>
        <w:adjustRightInd w:val="0"/>
        <w:ind w:left="567"/>
        <w:jc w:val="both"/>
        <w:rPr>
          <w:rFonts w:ascii="Arial" w:hAnsi="Arial" w:cs="Arial"/>
          <w:sz w:val="22"/>
          <w:szCs w:val="22"/>
        </w:rPr>
      </w:pPr>
    </w:p>
    <w:p w:rsidR="00D80E64" w:rsidRPr="00C610C7" w:rsidRDefault="00D80E64" w:rsidP="00B036AD">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Il dépend de l’actif de </w:t>
      </w:r>
      <w:r w:rsidR="00AC5E06" w:rsidRPr="00C610C7">
        <w:rPr>
          <w:rFonts w:ascii="Arial" w:hAnsi="Arial" w:cs="Arial"/>
          <w:sz w:val="22"/>
          <w:szCs w:val="22"/>
        </w:rPr>
        <w:t>la</w:t>
      </w:r>
      <w:r w:rsidRPr="00C610C7">
        <w:rPr>
          <w:rFonts w:ascii="Arial" w:hAnsi="Arial" w:cs="Arial"/>
          <w:sz w:val="22"/>
          <w:szCs w:val="22"/>
        </w:rPr>
        <w:t xml:space="preserve"> liquidation judiciaire</w:t>
      </w:r>
      <w:r w:rsidR="00AC5E06" w:rsidRPr="00C610C7">
        <w:rPr>
          <w:rFonts w:ascii="Arial" w:hAnsi="Arial" w:cs="Arial"/>
          <w:sz w:val="22"/>
          <w:szCs w:val="22"/>
        </w:rPr>
        <w:t xml:space="preserve"> de SARLU HEGALDIA</w:t>
      </w:r>
      <w:r w:rsidRPr="00C610C7">
        <w:rPr>
          <w:rFonts w:ascii="Arial" w:hAnsi="Arial" w:cs="Arial"/>
          <w:sz w:val="22"/>
          <w:szCs w:val="22"/>
        </w:rPr>
        <w:t xml:space="preserve"> les éléments corporels et incorporels </w:t>
      </w:r>
      <w:r w:rsidR="00255D60" w:rsidRPr="00C610C7">
        <w:rPr>
          <w:rFonts w:ascii="Arial" w:hAnsi="Arial" w:cs="Arial"/>
          <w:sz w:val="22"/>
          <w:szCs w:val="22"/>
        </w:rPr>
        <w:t>(</w:t>
      </w:r>
      <w:r w:rsidR="00AC5E06" w:rsidRPr="00C610C7">
        <w:rPr>
          <w:rFonts w:ascii="Arial" w:hAnsi="Arial" w:cs="Arial"/>
          <w:sz w:val="22"/>
          <w:szCs w:val="22"/>
        </w:rPr>
        <w:t xml:space="preserve">et le </w:t>
      </w:r>
      <w:r w:rsidR="00173F32">
        <w:rPr>
          <w:rFonts w:ascii="Arial" w:hAnsi="Arial" w:cs="Arial"/>
          <w:sz w:val="22"/>
          <w:szCs w:val="22"/>
        </w:rPr>
        <w:t>stock </w:t>
      </w:r>
      <w:r w:rsidR="00255D60" w:rsidRPr="00C610C7">
        <w:rPr>
          <w:rFonts w:ascii="Arial" w:hAnsi="Arial" w:cs="Arial"/>
          <w:sz w:val="22"/>
          <w:szCs w:val="22"/>
        </w:rPr>
        <w:t xml:space="preserve">) </w:t>
      </w:r>
      <w:r w:rsidRPr="00C610C7">
        <w:rPr>
          <w:rFonts w:ascii="Arial" w:hAnsi="Arial" w:cs="Arial"/>
          <w:sz w:val="22"/>
          <w:szCs w:val="22"/>
        </w:rPr>
        <w:t xml:space="preserve">subsistant d’un fonds de commerce de </w:t>
      </w:r>
      <w:bookmarkStart w:id="0" w:name="SAFFAIRE_ACTIVITE_0"/>
      <w:r w:rsidRPr="00C610C7">
        <w:rPr>
          <w:rFonts w:ascii="Arial" w:hAnsi="Arial" w:cs="Arial"/>
          <w:sz w:val="22"/>
          <w:szCs w:val="22"/>
        </w:rPr>
        <w:t>Commerce de détails d'art de table</w:t>
      </w:r>
      <w:bookmarkEnd w:id="0"/>
      <w:r w:rsidRPr="00C610C7">
        <w:rPr>
          <w:rFonts w:ascii="Arial" w:hAnsi="Arial" w:cs="Arial"/>
          <w:sz w:val="22"/>
          <w:szCs w:val="22"/>
        </w:rPr>
        <w:t xml:space="preserve">  sis à </w:t>
      </w:r>
      <w:bookmarkStart w:id="1" w:name="SAFFAIRE_BURDIS_0"/>
      <w:r w:rsidR="00BD0BDC" w:rsidRPr="00C610C7">
        <w:rPr>
          <w:rFonts w:ascii="Arial" w:hAnsi="Arial" w:cs="Arial"/>
          <w:sz w:val="22"/>
          <w:szCs w:val="22"/>
        </w:rPr>
        <w:t xml:space="preserve"> </w:t>
      </w:r>
      <w:bookmarkEnd w:id="1"/>
      <w:r w:rsidR="00173F32">
        <w:rPr>
          <w:rFonts w:ascii="Arial" w:hAnsi="Arial" w:cs="Arial"/>
          <w:sz w:val="22"/>
          <w:szCs w:val="22"/>
        </w:rPr>
        <w:t>LESCAR 64230 Centre commercial Carrefour – boulevard de l’Europe</w:t>
      </w:r>
      <w:r w:rsidR="00BD0BDC" w:rsidRPr="00C610C7">
        <w:rPr>
          <w:rFonts w:ascii="Arial" w:hAnsi="Arial" w:cs="Arial"/>
          <w:sz w:val="22"/>
          <w:szCs w:val="22"/>
        </w:rPr>
        <w:t xml:space="preserve"> </w:t>
      </w:r>
      <w:r w:rsidRPr="00C610C7">
        <w:rPr>
          <w:rFonts w:ascii="Arial" w:hAnsi="Arial" w:cs="Arial"/>
          <w:sz w:val="22"/>
          <w:szCs w:val="22"/>
        </w:rPr>
        <w:t>comprenant :</w:t>
      </w:r>
    </w:p>
    <w:p w:rsidR="00D80E64" w:rsidRPr="00C610C7" w:rsidRDefault="00D80E64" w:rsidP="00B036AD">
      <w:pPr>
        <w:widowControl w:val="0"/>
        <w:autoSpaceDE w:val="0"/>
        <w:autoSpaceDN w:val="0"/>
        <w:adjustRightInd w:val="0"/>
        <w:ind w:left="567"/>
        <w:jc w:val="both"/>
        <w:rPr>
          <w:rFonts w:ascii="Arial" w:hAnsi="Arial" w:cs="Arial"/>
          <w:sz w:val="22"/>
          <w:szCs w:val="22"/>
        </w:rPr>
      </w:pPr>
    </w:p>
    <w:p w:rsidR="00D80E64" w:rsidRPr="00C610C7" w:rsidRDefault="00AC5E06" w:rsidP="00F64D65">
      <w:pPr>
        <w:pStyle w:val="Paragraphedeliste1"/>
        <w:numPr>
          <w:ilvl w:val="0"/>
          <w:numId w:val="14"/>
        </w:numPr>
        <w:ind w:left="1418"/>
        <w:jc w:val="both"/>
        <w:rPr>
          <w:rFonts w:ascii="Arial" w:hAnsi="Arial" w:cs="Arial"/>
          <w:i/>
          <w:sz w:val="22"/>
          <w:szCs w:val="22"/>
        </w:rPr>
      </w:pPr>
      <w:r w:rsidRPr="00C610C7">
        <w:rPr>
          <w:rFonts w:ascii="Arial" w:hAnsi="Arial" w:cs="Arial"/>
          <w:sz w:val="22"/>
          <w:szCs w:val="22"/>
        </w:rPr>
        <w:t>L</w:t>
      </w:r>
      <w:r w:rsidR="00D80E64" w:rsidRPr="00C610C7">
        <w:rPr>
          <w:rFonts w:ascii="Arial" w:hAnsi="Arial" w:cs="Arial"/>
          <w:sz w:val="22"/>
          <w:szCs w:val="22"/>
        </w:rPr>
        <w:t>es éléments mobiliers incorporels du fonds, à savoir la clientèle, l’achalandage</w:t>
      </w:r>
      <w:r w:rsidR="00303C09" w:rsidRPr="00C610C7">
        <w:rPr>
          <w:rFonts w:ascii="Arial" w:hAnsi="Arial" w:cs="Arial"/>
          <w:sz w:val="22"/>
          <w:szCs w:val="22"/>
        </w:rPr>
        <w:t>, l’enseigne, le nom commercial</w:t>
      </w:r>
      <w:r w:rsidR="00850165" w:rsidRPr="00C610C7">
        <w:rPr>
          <w:rFonts w:ascii="Arial" w:hAnsi="Arial" w:cs="Arial"/>
          <w:sz w:val="22"/>
          <w:szCs w:val="22"/>
        </w:rPr>
        <w:t>,</w:t>
      </w:r>
      <w:r w:rsidR="00303C09" w:rsidRPr="00C610C7">
        <w:rPr>
          <w:rFonts w:ascii="Arial" w:hAnsi="Arial" w:cs="Arial"/>
          <w:sz w:val="22"/>
          <w:szCs w:val="22"/>
        </w:rPr>
        <w:t xml:space="preserve"> </w:t>
      </w:r>
      <w:r w:rsidR="00D80E64" w:rsidRPr="00C610C7">
        <w:rPr>
          <w:rFonts w:ascii="Arial" w:hAnsi="Arial" w:cs="Arial"/>
          <w:sz w:val="22"/>
          <w:szCs w:val="22"/>
        </w:rPr>
        <w:t xml:space="preserve"> ainsi </w:t>
      </w:r>
      <w:r w:rsidR="00303C09" w:rsidRPr="00C610C7">
        <w:rPr>
          <w:rFonts w:ascii="Arial" w:hAnsi="Arial" w:cs="Arial"/>
          <w:sz w:val="22"/>
          <w:szCs w:val="22"/>
        </w:rPr>
        <w:t xml:space="preserve">que </w:t>
      </w:r>
      <w:r w:rsidR="00D80E64" w:rsidRPr="00C610C7">
        <w:rPr>
          <w:rFonts w:ascii="Arial" w:hAnsi="Arial" w:cs="Arial"/>
          <w:sz w:val="22"/>
          <w:szCs w:val="22"/>
        </w:rPr>
        <w:t>le droit au bail commercial</w:t>
      </w:r>
      <w:r w:rsidR="00173F32">
        <w:rPr>
          <w:rFonts w:ascii="Arial" w:hAnsi="Arial" w:cs="Arial"/>
          <w:sz w:val="22"/>
          <w:szCs w:val="22"/>
        </w:rPr>
        <w:t xml:space="preserve"> pour le temps restant à courir.</w:t>
      </w:r>
    </w:p>
    <w:p w:rsidR="00D80E64" w:rsidRPr="00C610C7" w:rsidRDefault="00D80E64" w:rsidP="00D700F5">
      <w:pPr>
        <w:ind w:left="567"/>
        <w:jc w:val="both"/>
        <w:rPr>
          <w:rFonts w:ascii="Arial" w:hAnsi="Arial" w:cs="Arial"/>
          <w:sz w:val="22"/>
          <w:szCs w:val="22"/>
        </w:rPr>
      </w:pPr>
    </w:p>
    <w:p w:rsidR="00D80E64" w:rsidRPr="00C610C7" w:rsidRDefault="00AC5E06" w:rsidP="00F64D65">
      <w:pPr>
        <w:pStyle w:val="Paragraphedeliste1"/>
        <w:numPr>
          <w:ilvl w:val="0"/>
          <w:numId w:val="14"/>
        </w:numPr>
        <w:ind w:left="1418"/>
        <w:jc w:val="both"/>
        <w:rPr>
          <w:rFonts w:ascii="Arial" w:hAnsi="Arial" w:cs="Arial"/>
          <w:sz w:val="22"/>
          <w:szCs w:val="22"/>
        </w:rPr>
      </w:pPr>
      <w:r w:rsidRPr="00C610C7">
        <w:rPr>
          <w:rFonts w:ascii="Arial" w:hAnsi="Arial" w:cs="Arial"/>
          <w:sz w:val="22"/>
          <w:szCs w:val="22"/>
        </w:rPr>
        <w:t>L</w:t>
      </w:r>
      <w:r w:rsidR="00D80E64" w:rsidRPr="00C610C7">
        <w:rPr>
          <w:rFonts w:ascii="Arial" w:hAnsi="Arial" w:cs="Arial"/>
          <w:sz w:val="22"/>
          <w:szCs w:val="22"/>
        </w:rPr>
        <w:t xml:space="preserve">es éléments mobiliers corporels du fonds, sur la base de l’inventaire dressé par le </w:t>
      </w:r>
      <w:r w:rsidR="007A47A8">
        <w:rPr>
          <w:rFonts w:ascii="Arial" w:hAnsi="Arial" w:cs="Arial"/>
          <w:sz w:val="22"/>
          <w:szCs w:val="22"/>
        </w:rPr>
        <w:t>Commissaire de Justice</w:t>
      </w:r>
      <w:r w:rsidR="00D80E64" w:rsidRPr="00C610C7">
        <w:rPr>
          <w:rFonts w:ascii="Arial" w:hAnsi="Arial" w:cs="Arial"/>
          <w:sz w:val="22"/>
          <w:szCs w:val="22"/>
        </w:rPr>
        <w:t>, à l’exclusion des éléments revendiqués ou revendicables, connus ou non à la date des présentes, et/ou déclarés comme étant la propriété de tiers dans l’inventaire ;</w:t>
      </w:r>
    </w:p>
    <w:p w:rsidR="00D80E64" w:rsidRPr="00C610C7" w:rsidRDefault="00D80E64" w:rsidP="007B3DE4">
      <w:pPr>
        <w:pStyle w:val="Paragraphedeliste1"/>
        <w:rPr>
          <w:rFonts w:ascii="Arial" w:hAnsi="Arial" w:cs="Arial"/>
          <w:sz w:val="22"/>
          <w:szCs w:val="22"/>
        </w:rPr>
      </w:pPr>
    </w:p>
    <w:p w:rsidR="00D80E64" w:rsidRPr="00C610C7" w:rsidRDefault="00AC5E06" w:rsidP="00F64D65">
      <w:pPr>
        <w:pStyle w:val="Paragraphedeliste1"/>
        <w:numPr>
          <w:ilvl w:val="0"/>
          <w:numId w:val="14"/>
        </w:numPr>
        <w:ind w:left="1418"/>
        <w:jc w:val="both"/>
        <w:rPr>
          <w:rFonts w:ascii="Arial" w:hAnsi="Arial" w:cs="Arial"/>
          <w:sz w:val="22"/>
          <w:szCs w:val="22"/>
        </w:rPr>
      </w:pPr>
      <w:r w:rsidRPr="00C610C7">
        <w:rPr>
          <w:rFonts w:ascii="Arial" w:hAnsi="Arial" w:cs="Arial"/>
          <w:sz w:val="22"/>
          <w:szCs w:val="22"/>
        </w:rPr>
        <w:t>L</w:t>
      </w:r>
      <w:r w:rsidR="00D80E64" w:rsidRPr="00C610C7">
        <w:rPr>
          <w:rFonts w:ascii="Arial" w:hAnsi="Arial" w:cs="Arial"/>
          <w:sz w:val="22"/>
          <w:szCs w:val="22"/>
        </w:rPr>
        <w:t>e stock, sur la base de l’inventaire</w:t>
      </w:r>
      <w:r w:rsidR="00303C09" w:rsidRPr="00C610C7">
        <w:rPr>
          <w:rFonts w:ascii="Arial" w:hAnsi="Arial" w:cs="Arial"/>
          <w:sz w:val="22"/>
          <w:szCs w:val="22"/>
        </w:rPr>
        <w:t xml:space="preserve"> </w:t>
      </w:r>
      <w:r w:rsidR="00D80E64" w:rsidRPr="00C610C7">
        <w:rPr>
          <w:rFonts w:ascii="Arial" w:hAnsi="Arial" w:cs="Arial"/>
          <w:sz w:val="22"/>
          <w:szCs w:val="22"/>
        </w:rPr>
        <w:t xml:space="preserve">dressé par le </w:t>
      </w:r>
      <w:r w:rsidR="007A47A8">
        <w:rPr>
          <w:rFonts w:ascii="Arial" w:hAnsi="Arial" w:cs="Arial"/>
          <w:sz w:val="22"/>
          <w:szCs w:val="22"/>
        </w:rPr>
        <w:t>Commissaire de Justice</w:t>
      </w:r>
      <w:r w:rsidR="00D80E64" w:rsidRPr="00C610C7">
        <w:rPr>
          <w:rFonts w:ascii="Arial" w:hAnsi="Arial" w:cs="Arial"/>
          <w:sz w:val="22"/>
          <w:szCs w:val="22"/>
        </w:rPr>
        <w:t>, à l’exclusion des éléments revendiqués ou revendicables, connus ou non à la date des présentes, et/ou déclarés comme étant la propriété de tiers dans l’inventaire ;</w:t>
      </w:r>
    </w:p>
    <w:p w:rsidR="00D80E64" w:rsidRPr="00C610C7" w:rsidRDefault="00D80E64" w:rsidP="00D700F5">
      <w:pPr>
        <w:pStyle w:val="Paragraphedeliste1"/>
        <w:ind w:left="567"/>
        <w:jc w:val="both"/>
        <w:rPr>
          <w:rFonts w:ascii="Arial" w:hAnsi="Arial" w:cs="Arial"/>
          <w:sz w:val="22"/>
          <w:szCs w:val="22"/>
        </w:rPr>
      </w:pPr>
    </w:p>
    <w:p w:rsidR="00D80E64" w:rsidRPr="00A36BD9" w:rsidRDefault="00D80E64" w:rsidP="00D700F5">
      <w:pPr>
        <w:ind w:left="567"/>
        <w:jc w:val="both"/>
        <w:rPr>
          <w:rFonts w:ascii="Arial" w:hAnsi="Arial" w:cs="Arial"/>
          <w:b/>
          <w:sz w:val="22"/>
          <w:szCs w:val="22"/>
        </w:rPr>
      </w:pPr>
      <w:r w:rsidRPr="00A36BD9">
        <w:rPr>
          <w:rFonts w:ascii="Arial" w:hAnsi="Arial" w:cs="Arial"/>
          <w:b/>
          <w:sz w:val="22"/>
          <w:szCs w:val="22"/>
        </w:rPr>
        <w:t>La cession de ces éléments est faite en l’état, aux risques et périls du cessionnaire, et sans autre garantie que celles de leur existence matérielle au jour de la cession.</w:t>
      </w:r>
    </w:p>
    <w:p w:rsidR="00D80E64" w:rsidRPr="00A36BD9" w:rsidRDefault="00D80E64" w:rsidP="00D700F5">
      <w:pPr>
        <w:widowControl w:val="0"/>
        <w:autoSpaceDE w:val="0"/>
        <w:autoSpaceDN w:val="0"/>
        <w:adjustRightInd w:val="0"/>
        <w:ind w:left="567"/>
        <w:jc w:val="both"/>
        <w:rPr>
          <w:rFonts w:ascii="Arial" w:hAnsi="Arial" w:cs="Arial"/>
          <w:b/>
          <w:sz w:val="22"/>
          <w:szCs w:val="22"/>
        </w:rPr>
      </w:pPr>
    </w:p>
    <w:p w:rsidR="00D80E64" w:rsidRPr="00C610C7" w:rsidRDefault="00D80E64" w:rsidP="007B3DE4">
      <w:pPr>
        <w:ind w:left="567"/>
        <w:jc w:val="both"/>
        <w:rPr>
          <w:rFonts w:ascii="Arial" w:hAnsi="Arial" w:cs="Arial"/>
          <w:b/>
          <w:bCs/>
          <w:smallCaps/>
          <w:sz w:val="22"/>
          <w:szCs w:val="22"/>
          <w:u w:val="single"/>
        </w:rPr>
      </w:pPr>
      <w:r w:rsidRPr="00C610C7">
        <w:rPr>
          <w:rFonts w:ascii="Arial" w:hAnsi="Arial" w:cs="Arial"/>
          <w:b/>
          <w:bCs/>
          <w:smallCaps/>
          <w:sz w:val="22"/>
          <w:szCs w:val="22"/>
          <w:u w:val="single"/>
        </w:rPr>
        <w:t>elements exclus du perimetre de la cession</w:t>
      </w:r>
    </w:p>
    <w:p w:rsidR="00D80E64" w:rsidRPr="00C610C7" w:rsidRDefault="00D80E64" w:rsidP="00D700F5">
      <w:pPr>
        <w:widowControl w:val="0"/>
        <w:autoSpaceDE w:val="0"/>
        <w:autoSpaceDN w:val="0"/>
        <w:adjustRightInd w:val="0"/>
        <w:ind w:left="567"/>
        <w:jc w:val="both"/>
        <w:rPr>
          <w:rFonts w:ascii="Arial" w:hAnsi="Arial" w:cs="Arial"/>
          <w:sz w:val="22"/>
          <w:szCs w:val="22"/>
        </w:rPr>
      </w:pPr>
    </w:p>
    <w:p w:rsidR="00AC5E06" w:rsidRPr="00C610C7" w:rsidRDefault="00AC5E06"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Les contrats en cours, </w:t>
      </w:r>
      <w:r w:rsidR="00D71FAF" w:rsidRPr="00C610C7">
        <w:rPr>
          <w:rFonts w:ascii="Arial" w:hAnsi="Arial" w:cs="Arial"/>
          <w:sz w:val="22"/>
          <w:szCs w:val="22"/>
        </w:rPr>
        <w:t xml:space="preserve">autres que le bail commercial, </w:t>
      </w:r>
      <w:r w:rsidRPr="00C610C7">
        <w:rPr>
          <w:rFonts w:ascii="Arial" w:hAnsi="Arial" w:cs="Arial"/>
          <w:sz w:val="22"/>
          <w:szCs w:val="22"/>
        </w:rPr>
        <w:t>souscrits par SARLU HEGALDIA sont exclus de la présente cession.</w:t>
      </w:r>
    </w:p>
    <w:p w:rsidR="00AC5E06" w:rsidRDefault="00AC5E06" w:rsidP="00D700F5">
      <w:pPr>
        <w:widowControl w:val="0"/>
        <w:autoSpaceDE w:val="0"/>
        <w:autoSpaceDN w:val="0"/>
        <w:adjustRightInd w:val="0"/>
        <w:ind w:left="567"/>
        <w:jc w:val="both"/>
        <w:rPr>
          <w:rFonts w:ascii="Arial" w:hAnsi="Arial" w:cs="Arial"/>
          <w:sz w:val="22"/>
          <w:szCs w:val="22"/>
        </w:rPr>
      </w:pPr>
    </w:p>
    <w:p w:rsidR="00C610C7" w:rsidRPr="00C610C7" w:rsidRDefault="00C610C7" w:rsidP="00C610C7">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Le contrat de franchise est exclu de la cession. A ce titre, le cessionnaire s’interdit d’utiliser l’enseigne et la marque  et s’engage à retirer l’ensemble des éléments mobiliers ou de stock sur lesquels l’enseigne et</w:t>
      </w:r>
      <w:r w:rsidR="00A36BD9">
        <w:rPr>
          <w:rFonts w:ascii="Arial" w:hAnsi="Arial" w:cs="Arial"/>
          <w:sz w:val="22"/>
          <w:szCs w:val="22"/>
        </w:rPr>
        <w:t>/ou</w:t>
      </w:r>
      <w:r w:rsidRPr="00C610C7">
        <w:rPr>
          <w:rFonts w:ascii="Arial" w:hAnsi="Arial" w:cs="Arial"/>
          <w:sz w:val="22"/>
          <w:szCs w:val="22"/>
        </w:rPr>
        <w:t xml:space="preserve"> la marque</w:t>
      </w:r>
      <w:r w:rsidR="00173F32">
        <w:rPr>
          <w:rFonts w:ascii="Arial" w:hAnsi="Arial" w:cs="Arial"/>
          <w:sz w:val="22"/>
          <w:szCs w:val="22"/>
        </w:rPr>
        <w:t xml:space="preserve"> </w:t>
      </w:r>
      <w:r w:rsidR="00A36BD9">
        <w:rPr>
          <w:rFonts w:ascii="Arial" w:hAnsi="Arial" w:cs="Arial"/>
          <w:sz w:val="22"/>
          <w:szCs w:val="22"/>
        </w:rPr>
        <w:t>serai</w:t>
      </w:r>
      <w:r w:rsidRPr="00C610C7">
        <w:rPr>
          <w:rFonts w:ascii="Arial" w:hAnsi="Arial" w:cs="Arial"/>
          <w:sz w:val="22"/>
          <w:szCs w:val="22"/>
        </w:rPr>
        <w:t>t indiqué</w:t>
      </w:r>
      <w:r w:rsidR="00A36BD9">
        <w:rPr>
          <w:rFonts w:ascii="Arial" w:hAnsi="Arial" w:cs="Arial"/>
          <w:sz w:val="22"/>
          <w:szCs w:val="22"/>
        </w:rPr>
        <w:t>e. L</w:t>
      </w:r>
      <w:r w:rsidRPr="00C610C7">
        <w:rPr>
          <w:rFonts w:ascii="Arial" w:hAnsi="Arial" w:cs="Arial"/>
          <w:sz w:val="22"/>
          <w:szCs w:val="22"/>
        </w:rPr>
        <w:t>e cas échéant</w:t>
      </w:r>
      <w:r w:rsidR="00A36BD9">
        <w:rPr>
          <w:rFonts w:ascii="Arial" w:hAnsi="Arial" w:cs="Arial"/>
          <w:sz w:val="22"/>
          <w:szCs w:val="22"/>
        </w:rPr>
        <w:t>, le cessionnaire s’engage</w:t>
      </w:r>
      <w:r w:rsidRPr="00C610C7">
        <w:rPr>
          <w:rFonts w:ascii="Arial" w:hAnsi="Arial" w:cs="Arial"/>
          <w:sz w:val="22"/>
          <w:szCs w:val="22"/>
        </w:rPr>
        <w:t xml:space="preserve"> à restituer ces éléments au propriétaire de la marque, à première demande, le tout à ses frais et sans recours contre la liquidation judiciaire. Dans l’hypothèse où le cessionnaire souhaiterait continuer le contrat, il lui appartiendra d’en faire son affaire personnelle auprès du franchiseur. </w:t>
      </w:r>
    </w:p>
    <w:p w:rsidR="00C610C7" w:rsidRPr="00C610C7" w:rsidRDefault="00C610C7" w:rsidP="00D700F5">
      <w:pPr>
        <w:widowControl w:val="0"/>
        <w:autoSpaceDE w:val="0"/>
        <w:autoSpaceDN w:val="0"/>
        <w:adjustRightInd w:val="0"/>
        <w:ind w:left="567"/>
        <w:jc w:val="both"/>
        <w:rPr>
          <w:rFonts w:ascii="Arial" w:hAnsi="Arial" w:cs="Arial"/>
          <w:sz w:val="22"/>
          <w:szCs w:val="22"/>
        </w:rPr>
      </w:pPr>
    </w:p>
    <w:p w:rsidR="00D80E64" w:rsidRPr="00C610C7" w:rsidRDefault="00D80E64"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Les éléments revendiqués ou revendicables, ou mentionnés comme étant la propriété de tiers dans l’inventaire, connus ou non à la date des présentes, sont exclus de la présente cession.</w:t>
      </w:r>
    </w:p>
    <w:p w:rsidR="00D80E64" w:rsidRPr="00C610C7" w:rsidRDefault="00D80E64" w:rsidP="00D700F5">
      <w:pPr>
        <w:widowControl w:val="0"/>
        <w:autoSpaceDE w:val="0"/>
        <w:autoSpaceDN w:val="0"/>
        <w:adjustRightInd w:val="0"/>
        <w:ind w:left="567"/>
        <w:jc w:val="both"/>
        <w:rPr>
          <w:rFonts w:ascii="Arial" w:hAnsi="Arial" w:cs="Arial"/>
          <w:sz w:val="22"/>
          <w:szCs w:val="22"/>
        </w:rPr>
      </w:pPr>
    </w:p>
    <w:p w:rsidR="00D80E64" w:rsidRPr="00C610C7" w:rsidRDefault="00AC5E06"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L</w:t>
      </w:r>
      <w:r w:rsidR="00D80E64" w:rsidRPr="00C610C7">
        <w:rPr>
          <w:rFonts w:ascii="Arial" w:hAnsi="Arial" w:cs="Arial"/>
          <w:sz w:val="22"/>
          <w:szCs w:val="22"/>
        </w:rPr>
        <w:t>e matériel en crédit-bail, location, dépôt ou objet d’un contrat de prêt, qui ne dépend pas de l’actif de la liquidation judiciaire, est exclu de la présente cession ; par conséquent, l’acquéreur fera son affaire personnelle du rachat ou de la reprise des contrats concernés directement avec le cocontractant.</w:t>
      </w:r>
    </w:p>
    <w:p w:rsidR="00D80E64" w:rsidRPr="00C610C7" w:rsidRDefault="00D80E64" w:rsidP="00D700F5">
      <w:pPr>
        <w:ind w:left="567"/>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 xml:space="preserve">De la même manière, l’acquéreur fera </w:t>
      </w:r>
      <w:r w:rsidR="00AC5E06" w:rsidRPr="00C610C7">
        <w:rPr>
          <w:rFonts w:ascii="Arial" w:hAnsi="Arial" w:cs="Arial"/>
          <w:sz w:val="22"/>
          <w:szCs w:val="22"/>
        </w:rPr>
        <w:t xml:space="preserve">notamment </w:t>
      </w:r>
      <w:r w:rsidRPr="00C610C7">
        <w:rPr>
          <w:rFonts w:ascii="Arial" w:hAnsi="Arial" w:cs="Arial"/>
          <w:sz w:val="22"/>
          <w:szCs w:val="22"/>
        </w:rPr>
        <w:t xml:space="preserve">son affaire personnelle de la renégociation avec les fournisseurs des contrats concernant les lignes téléphoniques et de télécopie, ceux-ci étant d’ores et déjà résiliés. </w:t>
      </w:r>
    </w:p>
    <w:p w:rsidR="00AC5E06" w:rsidRDefault="00AC5E06" w:rsidP="00D700F5">
      <w:pPr>
        <w:jc w:val="both"/>
        <w:rPr>
          <w:rFonts w:ascii="Arial" w:hAnsi="Arial" w:cs="Arial"/>
          <w:b/>
          <w:bCs/>
          <w:smallCaps/>
          <w:sz w:val="22"/>
          <w:szCs w:val="22"/>
          <w:u w:val="single"/>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lastRenderedPageBreak/>
        <w:t xml:space="preserve">Article 2 </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offre d’acquisition </w:t>
      </w:r>
    </w:p>
    <w:p w:rsidR="00D80E64" w:rsidRPr="00C610C7" w:rsidRDefault="00D80E64" w:rsidP="00D700F5">
      <w:pPr>
        <w:jc w:val="both"/>
        <w:rPr>
          <w:rFonts w:ascii="Arial" w:hAnsi="Arial" w:cs="Arial"/>
          <w:b/>
          <w:bCs/>
          <w:smallCaps/>
          <w:sz w:val="22"/>
          <w:szCs w:val="22"/>
          <w:u w:val="single"/>
        </w:rPr>
      </w:pPr>
    </w:p>
    <w:p w:rsidR="00D80E64" w:rsidRPr="00C610C7" w:rsidRDefault="00D80E64" w:rsidP="00D700F5">
      <w:pPr>
        <w:ind w:left="567"/>
        <w:jc w:val="both"/>
        <w:rPr>
          <w:rFonts w:ascii="Arial" w:hAnsi="Arial" w:cs="Arial"/>
          <w:b/>
          <w:sz w:val="22"/>
          <w:szCs w:val="22"/>
        </w:rPr>
      </w:pPr>
      <w:r w:rsidRPr="00C610C7">
        <w:rPr>
          <w:rFonts w:ascii="Arial" w:hAnsi="Arial" w:cs="Arial"/>
          <w:b/>
          <w:sz w:val="22"/>
          <w:szCs w:val="22"/>
        </w:rPr>
        <w:t xml:space="preserve">L’offre, </w:t>
      </w:r>
      <w:r w:rsidRPr="00C610C7">
        <w:rPr>
          <w:rFonts w:ascii="Arial" w:hAnsi="Arial" w:cs="Arial"/>
          <w:b/>
          <w:sz w:val="22"/>
          <w:szCs w:val="22"/>
          <w:u w:val="single"/>
        </w:rPr>
        <w:t>stipulée ferme et définitive</w:t>
      </w:r>
      <w:r w:rsidRPr="00C610C7">
        <w:rPr>
          <w:rFonts w:ascii="Arial" w:hAnsi="Arial" w:cs="Arial"/>
          <w:b/>
          <w:sz w:val="22"/>
          <w:szCs w:val="22"/>
        </w:rPr>
        <w:t xml:space="preserve">, devra comporter une ventilation du prix entre : </w:t>
      </w:r>
    </w:p>
    <w:p w:rsidR="00D80E64" w:rsidRPr="00C610C7" w:rsidRDefault="00D80E64" w:rsidP="00D700F5">
      <w:pPr>
        <w:ind w:left="567"/>
        <w:jc w:val="both"/>
        <w:rPr>
          <w:rFonts w:ascii="Arial" w:hAnsi="Arial" w:cs="Arial"/>
          <w:b/>
          <w:sz w:val="22"/>
          <w:szCs w:val="22"/>
        </w:rPr>
      </w:pP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t xml:space="preserve">les éléments incorporels, </w:t>
      </w: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t>les éléments corporels,</w:t>
      </w: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t>le stock, avec mention de la TVA applicable</w:t>
      </w:r>
    </w:p>
    <w:p w:rsidR="00D80E64" w:rsidRPr="00C610C7" w:rsidRDefault="00D80E64" w:rsidP="00D700F5">
      <w:pPr>
        <w:ind w:left="567"/>
        <w:jc w:val="both"/>
        <w:rPr>
          <w:rFonts w:ascii="Arial" w:hAnsi="Arial" w:cs="Arial"/>
          <w:b/>
          <w:bCs/>
          <w:smallCaps/>
          <w:sz w:val="22"/>
          <w:szCs w:val="22"/>
          <w:u w:val="single"/>
        </w:rPr>
      </w:pPr>
    </w:p>
    <w:p w:rsidR="00AB21A3" w:rsidRDefault="00D80E64" w:rsidP="00AB21A3">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A titre de garantie, l’offre </w:t>
      </w:r>
      <w:r w:rsidRPr="00C610C7">
        <w:rPr>
          <w:rFonts w:ascii="Arial" w:hAnsi="Arial" w:cs="Arial"/>
          <w:sz w:val="22"/>
          <w:szCs w:val="22"/>
          <w:u w:val="single"/>
        </w:rPr>
        <w:t>devra être accompagnée</w:t>
      </w:r>
      <w:r w:rsidRPr="00C610C7">
        <w:rPr>
          <w:rFonts w:ascii="Arial" w:hAnsi="Arial" w:cs="Arial"/>
          <w:sz w:val="22"/>
          <w:szCs w:val="22"/>
        </w:rPr>
        <w:t xml:space="preserve"> d’un </w:t>
      </w:r>
      <w:r w:rsidR="00AC5E06" w:rsidRPr="00C610C7">
        <w:rPr>
          <w:rFonts w:ascii="Arial" w:hAnsi="Arial" w:cs="Arial"/>
          <w:sz w:val="22"/>
          <w:szCs w:val="22"/>
        </w:rPr>
        <w:t>CHEQUE DE BANQUE</w:t>
      </w:r>
      <w:r w:rsidRPr="00C610C7">
        <w:rPr>
          <w:rFonts w:ascii="Arial" w:hAnsi="Arial" w:cs="Arial"/>
          <w:sz w:val="22"/>
          <w:szCs w:val="22"/>
        </w:rPr>
        <w:t xml:space="preserve"> du prix total offert, libellé à l’ordre de la SELARL </w:t>
      </w:r>
      <w:r w:rsidR="00BF43E5" w:rsidRPr="00C610C7">
        <w:rPr>
          <w:rFonts w:ascii="Arial" w:hAnsi="Arial" w:cs="Arial"/>
          <w:sz w:val="22"/>
          <w:szCs w:val="22"/>
        </w:rPr>
        <w:t>EKIP’</w:t>
      </w:r>
      <w:r w:rsidRPr="00C610C7">
        <w:rPr>
          <w:rFonts w:ascii="Arial" w:hAnsi="Arial" w:cs="Arial"/>
          <w:sz w:val="22"/>
          <w:szCs w:val="22"/>
        </w:rPr>
        <w:t> ; ce dépôt restera acquis à la Liquidation Judiciaire en cas de non réalisation de la cession du fait du cessionnaire, en considération du caractère ferme de l’offre formulée.</w:t>
      </w:r>
    </w:p>
    <w:p w:rsidR="00AB21A3" w:rsidRDefault="00AB21A3" w:rsidP="00AB21A3">
      <w:pPr>
        <w:widowControl w:val="0"/>
        <w:autoSpaceDE w:val="0"/>
        <w:autoSpaceDN w:val="0"/>
        <w:adjustRightInd w:val="0"/>
        <w:ind w:left="567"/>
        <w:jc w:val="both"/>
        <w:rPr>
          <w:rFonts w:ascii="Arial" w:hAnsi="Arial" w:cs="Arial"/>
          <w:sz w:val="22"/>
          <w:szCs w:val="22"/>
        </w:rPr>
      </w:pPr>
    </w:p>
    <w:p w:rsidR="00D80E64" w:rsidRDefault="00A54158" w:rsidP="00AB21A3">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A</w:t>
      </w:r>
      <w:r w:rsidR="00D80E64" w:rsidRPr="00C610C7">
        <w:rPr>
          <w:rFonts w:ascii="Arial" w:hAnsi="Arial" w:cs="Arial"/>
          <w:sz w:val="22"/>
          <w:szCs w:val="22"/>
        </w:rPr>
        <w:t>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005816A0" w:rsidRDefault="005816A0" w:rsidP="00AB21A3">
      <w:pPr>
        <w:widowControl w:val="0"/>
        <w:autoSpaceDE w:val="0"/>
        <w:autoSpaceDN w:val="0"/>
        <w:adjustRightInd w:val="0"/>
        <w:ind w:left="567"/>
        <w:jc w:val="both"/>
        <w:rPr>
          <w:rFonts w:ascii="Arial" w:hAnsi="Arial" w:cs="Arial"/>
          <w:sz w:val="22"/>
          <w:szCs w:val="22"/>
        </w:rPr>
      </w:pPr>
    </w:p>
    <w:p w:rsidR="005816A0" w:rsidRPr="00C610C7" w:rsidRDefault="005816A0" w:rsidP="00AB21A3">
      <w:pPr>
        <w:widowControl w:val="0"/>
        <w:autoSpaceDE w:val="0"/>
        <w:autoSpaceDN w:val="0"/>
        <w:adjustRightInd w:val="0"/>
        <w:ind w:left="567"/>
        <w:jc w:val="both"/>
        <w:rPr>
          <w:rFonts w:ascii="Arial" w:hAnsi="Arial" w:cs="Arial"/>
          <w:sz w:val="22"/>
          <w:szCs w:val="22"/>
        </w:rPr>
      </w:pPr>
      <w:r>
        <w:rPr>
          <w:rFonts w:ascii="Arial" w:hAnsi="Arial" w:cs="Arial"/>
          <w:sz w:val="22"/>
          <w:szCs w:val="22"/>
        </w:rPr>
        <w:t>L’offrant est informé que l’intégralité de son offre, incluant les informations personnelles (</w:t>
      </w:r>
      <w:r w:rsidRPr="005816A0">
        <w:rPr>
          <w:rFonts w:ascii="Arial" w:hAnsi="Arial" w:cs="Arial"/>
          <w:i/>
          <w:sz w:val="22"/>
          <w:szCs w:val="22"/>
        </w:rPr>
        <w:t>notamment adresse postale, numéro de téléphone…</w:t>
      </w:r>
      <w:r>
        <w:rPr>
          <w:rFonts w:ascii="Arial" w:hAnsi="Arial" w:cs="Arial"/>
          <w:sz w:val="22"/>
          <w:szCs w:val="22"/>
        </w:rPr>
        <w:t>) sera soumise au dirigeant, et ne s’oppose pas à cette transmission.</w:t>
      </w:r>
    </w:p>
    <w:p w:rsidR="00D80E64" w:rsidRPr="00C610C7" w:rsidRDefault="00D80E64" w:rsidP="00D700F5">
      <w:pPr>
        <w:jc w:val="both"/>
        <w:rPr>
          <w:rFonts w:ascii="Arial" w:hAnsi="Arial" w:cs="Arial"/>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3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qualité de l’offrant</w:t>
      </w:r>
    </w:p>
    <w:p w:rsidR="00D80E64" w:rsidRPr="00C610C7" w:rsidRDefault="00D80E64" w:rsidP="00D700F5">
      <w:pPr>
        <w:pStyle w:val="Texte"/>
        <w:ind w:left="567" w:right="-288"/>
        <w:jc w:val="both"/>
        <w:rPr>
          <w:rFonts w:ascii="Arial" w:hAnsi="Arial" w:cs="Arial"/>
          <w:sz w:val="22"/>
          <w:szCs w:val="22"/>
        </w:rPr>
      </w:pPr>
    </w:p>
    <w:p w:rsidR="0033228B" w:rsidRPr="00C610C7" w:rsidRDefault="0033228B" w:rsidP="0033228B">
      <w:pPr>
        <w:widowControl w:val="0"/>
        <w:autoSpaceDE w:val="0"/>
        <w:autoSpaceDN w:val="0"/>
        <w:adjustRightInd w:val="0"/>
        <w:ind w:left="567"/>
        <w:contextualSpacing/>
        <w:jc w:val="both"/>
        <w:rPr>
          <w:rFonts w:ascii="Arial" w:hAnsi="Arial" w:cs="Arial"/>
          <w:sz w:val="22"/>
          <w:szCs w:val="22"/>
        </w:rPr>
      </w:pPr>
      <w:r w:rsidRPr="00C610C7">
        <w:rPr>
          <w:rFonts w:ascii="Arial" w:hAnsi="Arial" w:cs="Arial"/>
          <w:sz w:val="22"/>
          <w:szCs w:val="22"/>
        </w:rPr>
        <w:t>La présente cession est soumise aux dispositions de l’article L.642.3 du code de commerce, qui interdit au débiteur ou aux dirigeants de droit ou de fait,</w:t>
      </w:r>
      <w:r w:rsidRPr="00C610C7">
        <w:rPr>
          <w:rFonts w:ascii="Arial" w:hAnsi="Arial" w:cs="Arial"/>
          <w:b/>
          <w:sz w:val="22"/>
          <w:szCs w:val="22"/>
        </w:rPr>
        <w:t xml:space="preserve"> </w:t>
      </w:r>
      <w:r w:rsidRPr="00C610C7">
        <w:rPr>
          <w:rFonts w:ascii="Arial" w:hAnsi="Arial" w:cs="Arial"/>
          <w:sz w:val="22"/>
          <w:szCs w:val="22"/>
        </w:rPr>
        <w:t>directement ou par personne interposée, ainsi qu’aux parents et alliés de ceux-ci jusqu’au deuxième degré inclusivement, de se porter acquéreur des actifs de la liquidation judiciaire.</w:t>
      </w:r>
    </w:p>
    <w:p w:rsidR="0033228B" w:rsidRPr="00C610C7" w:rsidRDefault="0033228B" w:rsidP="0033228B">
      <w:pPr>
        <w:widowControl w:val="0"/>
        <w:autoSpaceDE w:val="0"/>
        <w:autoSpaceDN w:val="0"/>
        <w:adjustRightInd w:val="0"/>
        <w:ind w:left="567"/>
        <w:contextualSpacing/>
        <w:jc w:val="both"/>
        <w:rPr>
          <w:rFonts w:ascii="Arial" w:hAnsi="Arial" w:cs="Arial"/>
          <w:sz w:val="22"/>
          <w:szCs w:val="22"/>
        </w:rPr>
      </w:pPr>
    </w:p>
    <w:p w:rsidR="0033228B" w:rsidRPr="00C610C7" w:rsidRDefault="0033228B" w:rsidP="0033228B">
      <w:pPr>
        <w:widowControl w:val="0"/>
        <w:autoSpaceDE w:val="0"/>
        <w:autoSpaceDN w:val="0"/>
        <w:adjustRightInd w:val="0"/>
        <w:ind w:left="567"/>
        <w:contextualSpacing/>
        <w:jc w:val="both"/>
        <w:rPr>
          <w:rFonts w:ascii="Arial" w:hAnsi="Arial" w:cs="Arial"/>
          <w:b/>
          <w:sz w:val="22"/>
          <w:szCs w:val="22"/>
        </w:rPr>
      </w:pPr>
      <w:r w:rsidRPr="00C610C7">
        <w:rPr>
          <w:rFonts w:ascii="Arial" w:hAnsi="Arial" w:cs="Arial"/>
          <w:b/>
          <w:sz w:val="22"/>
          <w:szCs w:val="22"/>
        </w:rPr>
        <w:t>Dans l’hypothèse d’une offre formulée par une personne physique</w:t>
      </w:r>
      <w:r w:rsidRPr="00C610C7">
        <w:rPr>
          <w:rFonts w:ascii="Arial" w:hAnsi="Arial" w:cs="Arial"/>
          <w:sz w:val="22"/>
          <w:szCs w:val="22"/>
        </w:rPr>
        <w:t>, celle-ci devra être assortie d’une pièce d’identité en cours de validité ainsi que ses coordonnées complètes (dont adresse courriel et n° de portable).</w:t>
      </w:r>
    </w:p>
    <w:p w:rsidR="0033228B" w:rsidRPr="00C610C7" w:rsidRDefault="0033228B" w:rsidP="0033228B">
      <w:pPr>
        <w:pStyle w:val="Texte"/>
        <w:ind w:left="567" w:right="-288"/>
        <w:jc w:val="both"/>
        <w:rPr>
          <w:rFonts w:ascii="Arial" w:hAnsi="Arial" w:cs="Arial"/>
          <w:sz w:val="22"/>
          <w:szCs w:val="22"/>
        </w:rPr>
      </w:pPr>
    </w:p>
    <w:p w:rsidR="0033228B" w:rsidRPr="00C610C7" w:rsidRDefault="0033228B" w:rsidP="0033228B">
      <w:pPr>
        <w:widowControl w:val="0"/>
        <w:autoSpaceDE w:val="0"/>
        <w:autoSpaceDN w:val="0"/>
        <w:adjustRightInd w:val="0"/>
        <w:ind w:left="567"/>
        <w:jc w:val="both"/>
        <w:rPr>
          <w:rFonts w:ascii="Arial" w:hAnsi="Arial" w:cs="Arial"/>
          <w:sz w:val="22"/>
          <w:szCs w:val="22"/>
        </w:rPr>
      </w:pPr>
      <w:r w:rsidRPr="00C610C7">
        <w:rPr>
          <w:rFonts w:ascii="Arial" w:hAnsi="Arial" w:cs="Arial"/>
          <w:b/>
          <w:sz w:val="22"/>
          <w:szCs w:val="22"/>
        </w:rPr>
        <w:t>Dans l’hypothèse d’une offre formulée par une personne morale</w:t>
      </w:r>
      <w:r w:rsidRPr="00C610C7">
        <w:rPr>
          <w:rFonts w:ascii="Arial" w:hAnsi="Arial" w:cs="Arial"/>
          <w:sz w:val="22"/>
          <w:szCs w:val="22"/>
        </w:rPr>
        <w:t>, celle-ci devra être assortie des statuts certifiés conformes et d’un extrait K-bis de moins de 3 mois.</w:t>
      </w:r>
    </w:p>
    <w:p w:rsidR="0033228B" w:rsidRPr="00C610C7" w:rsidRDefault="0033228B" w:rsidP="0033228B">
      <w:pPr>
        <w:widowControl w:val="0"/>
        <w:autoSpaceDE w:val="0"/>
        <w:autoSpaceDN w:val="0"/>
        <w:adjustRightInd w:val="0"/>
        <w:ind w:left="567"/>
        <w:jc w:val="both"/>
        <w:rPr>
          <w:rFonts w:ascii="Arial" w:hAnsi="Arial" w:cs="Arial"/>
          <w:sz w:val="22"/>
          <w:szCs w:val="22"/>
        </w:rPr>
      </w:pPr>
    </w:p>
    <w:p w:rsidR="0033228B" w:rsidRPr="00C610C7" w:rsidRDefault="0033228B" w:rsidP="0033228B">
      <w:pPr>
        <w:widowControl w:val="0"/>
        <w:tabs>
          <w:tab w:val="left" w:pos="6943"/>
        </w:tabs>
        <w:autoSpaceDE w:val="0"/>
        <w:autoSpaceDN w:val="0"/>
        <w:adjustRightInd w:val="0"/>
        <w:ind w:left="567"/>
        <w:jc w:val="both"/>
        <w:rPr>
          <w:rFonts w:ascii="Arial" w:hAnsi="Arial" w:cs="Arial"/>
          <w:sz w:val="22"/>
          <w:szCs w:val="22"/>
        </w:rPr>
      </w:pPr>
      <w:r w:rsidRPr="00C610C7">
        <w:rPr>
          <w:rFonts w:ascii="Arial" w:hAnsi="Arial" w:cs="Arial"/>
          <w:b/>
          <w:sz w:val="22"/>
          <w:szCs w:val="22"/>
        </w:rPr>
        <w:t>Dans l’hypothèse d’une offre formulée pour le compte d’une personne morale en cours de constitution</w:t>
      </w:r>
      <w:r w:rsidRPr="00C610C7">
        <w:rPr>
          <w:rFonts w:ascii="Arial" w:hAnsi="Arial" w:cs="Arial"/>
          <w:sz w:val="22"/>
          <w:szCs w:val="22"/>
        </w:rPr>
        <w:t>, il convient de reprendre la formule ci-après, en indiquant</w:t>
      </w:r>
      <w:r w:rsidRPr="00C610C7">
        <w:rPr>
          <w:rFonts w:ascii="Arial" w:hAnsi="Arial" w:cs="Arial"/>
          <w:iCs/>
          <w:sz w:val="22"/>
          <w:szCs w:val="22"/>
        </w:rPr>
        <w:t xml:space="preserve"> le maximum de précisions quant à la raison sociale, le siège social, les associés, la gérance ou le conseil d’administration, le capital </w:t>
      </w:r>
      <w:r w:rsidRPr="00C610C7">
        <w:rPr>
          <w:rFonts w:ascii="Arial" w:hAnsi="Arial" w:cs="Arial"/>
          <w:i/>
          <w:iCs/>
          <w:sz w:val="22"/>
          <w:szCs w:val="22"/>
        </w:rPr>
        <w:t>(etc.)</w:t>
      </w:r>
      <w:r w:rsidRPr="00C610C7">
        <w:rPr>
          <w:rFonts w:ascii="Arial" w:hAnsi="Arial" w:cs="Arial"/>
          <w:sz w:val="22"/>
          <w:szCs w:val="22"/>
        </w:rPr>
        <w:t> :</w:t>
      </w:r>
    </w:p>
    <w:p w:rsidR="0033228B" w:rsidRPr="00C610C7" w:rsidRDefault="0033228B" w:rsidP="0033228B">
      <w:pPr>
        <w:widowControl w:val="0"/>
        <w:autoSpaceDE w:val="0"/>
        <w:autoSpaceDN w:val="0"/>
        <w:adjustRightInd w:val="0"/>
        <w:ind w:left="567"/>
        <w:jc w:val="both"/>
        <w:rPr>
          <w:rFonts w:ascii="Arial" w:hAnsi="Arial" w:cs="Arial"/>
          <w:sz w:val="22"/>
          <w:szCs w:val="22"/>
        </w:rPr>
      </w:pPr>
    </w:p>
    <w:p w:rsidR="0033228B" w:rsidRPr="00C610C7" w:rsidRDefault="0033228B" w:rsidP="0033228B">
      <w:pPr>
        <w:pStyle w:val="Paragraphedeliste1"/>
        <w:widowControl w:val="0"/>
        <w:autoSpaceDE w:val="0"/>
        <w:autoSpaceDN w:val="0"/>
        <w:adjustRightInd w:val="0"/>
        <w:ind w:left="1416"/>
        <w:jc w:val="both"/>
        <w:rPr>
          <w:rFonts w:ascii="Arial" w:hAnsi="Arial" w:cs="Arial"/>
          <w:i/>
          <w:iCs/>
          <w:sz w:val="22"/>
          <w:szCs w:val="22"/>
        </w:rPr>
      </w:pPr>
      <w:r w:rsidRPr="00C610C7">
        <w:rPr>
          <w:rFonts w:ascii="Arial" w:hAnsi="Arial" w:cs="Arial"/>
          <w:i/>
          <w:iCs/>
          <w:sz w:val="22"/>
          <w:szCs w:val="22"/>
        </w:rPr>
        <w:t xml:space="preserve">« la cession de gré à gré des éléments subsistant du fonds de commerce désignés dans la présente offre au profit de _ _ _ _ _ _ _ _, agissant tant à pour son propre compte, que pour le compte d’une personne morale qu’il se propose de constituer </w:t>
      </w:r>
      <w:r w:rsidRPr="00C610C7">
        <w:rPr>
          <w:rFonts w:ascii="Arial" w:hAnsi="Arial" w:cs="Arial"/>
          <w:b/>
          <w:i/>
          <w:iCs/>
          <w:sz w:val="22"/>
          <w:szCs w:val="22"/>
          <w:u w:val="single"/>
        </w:rPr>
        <w:t>et dont il se porte garant</w:t>
      </w:r>
      <w:r w:rsidRPr="00C610C7">
        <w:rPr>
          <w:rFonts w:ascii="Arial" w:hAnsi="Arial" w:cs="Arial"/>
          <w:i/>
          <w:iCs/>
          <w:sz w:val="22"/>
          <w:szCs w:val="22"/>
        </w:rPr>
        <w:t> ».</w:t>
      </w:r>
    </w:p>
    <w:p w:rsidR="0033228B" w:rsidRPr="00C610C7" w:rsidRDefault="0033228B" w:rsidP="0033228B">
      <w:pPr>
        <w:pStyle w:val="Paragraphedeliste1"/>
        <w:widowControl w:val="0"/>
        <w:autoSpaceDE w:val="0"/>
        <w:autoSpaceDN w:val="0"/>
        <w:adjustRightInd w:val="0"/>
        <w:ind w:left="1416"/>
        <w:jc w:val="both"/>
        <w:rPr>
          <w:rFonts w:ascii="Arial" w:hAnsi="Arial" w:cs="Arial"/>
          <w:i/>
          <w:iCs/>
          <w:sz w:val="22"/>
          <w:szCs w:val="22"/>
        </w:rPr>
      </w:pPr>
    </w:p>
    <w:p w:rsidR="0033228B" w:rsidRPr="00C610C7" w:rsidRDefault="0033228B" w:rsidP="0033228B">
      <w:pPr>
        <w:pStyle w:val="Paragraphedeliste1"/>
        <w:widowControl w:val="0"/>
        <w:autoSpaceDE w:val="0"/>
        <w:autoSpaceDN w:val="0"/>
        <w:adjustRightInd w:val="0"/>
        <w:ind w:left="709"/>
        <w:jc w:val="both"/>
        <w:rPr>
          <w:rFonts w:ascii="Arial" w:hAnsi="Arial" w:cs="Arial"/>
          <w:iCs/>
          <w:sz w:val="22"/>
          <w:szCs w:val="22"/>
        </w:rPr>
      </w:pPr>
      <w:r w:rsidRPr="00C610C7">
        <w:rPr>
          <w:rFonts w:ascii="Arial" w:hAnsi="Arial" w:cs="Arial"/>
          <w:b/>
          <w:iCs/>
          <w:sz w:val="22"/>
          <w:szCs w:val="22"/>
        </w:rPr>
        <w:t>Dans l’hypothèse d’une offre formulée avec possibilité de substituer une autre personne morale déjà constituée</w:t>
      </w:r>
      <w:r w:rsidRPr="00C610C7">
        <w:rPr>
          <w:rFonts w:ascii="Arial" w:hAnsi="Arial" w:cs="Arial"/>
          <w:iCs/>
          <w:sz w:val="22"/>
          <w:szCs w:val="22"/>
        </w:rPr>
        <w:t>, il conviendra de fournir les statuts certifiés conformes de ladite personne morale qui sera substituée ainsi qu’un extrait k-Bis de moins de 3 mois.</w:t>
      </w:r>
    </w:p>
    <w:p w:rsidR="00D80E64" w:rsidRPr="00C610C7" w:rsidRDefault="00D80E64" w:rsidP="00D700F5">
      <w:pPr>
        <w:jc w:val="both"/>
        <w:rPr>
          <w:rFonts w:ascii="Arial" w:hAnsi="Arial" w:cs="Arial"/>
          <w:b/>
          <w:bCs/>
          <w:smallCaps/>
          <w:sz w:val="22"/>
          <w:szCs w:val="22"/>
          <w:u w:val="single"/>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4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obligation de l’acquéreur</w:t>
      </w:r>
    </w:p>
    <w:p w:rsidR="00D80E64" w:rsidRPr="00C610C7" w:rsidRDefault="00D80E64" w:rsidP="00D700F5">
      <w:pPr>
        <w:widowControl w:val="0"/>
        <w:autoSpaceDE w:val="0"/>
        <w:autoSpaceDN w:val="0"/>
        <w:adjustRightInd w:val="0"/>
        <w:jc w:val="both"/>
        <w:rPr>
          <w:rFonts w:ascii="Arial" w:hAnsi="Arial" w:cs="Arial"/>
          <w:sz w:val="22"/>
          <w:szCs w:val="22"/>
        </w:rPr>
      </w:pP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D80E64" w:rsidRPr="00C610C7" w:rsidRDefault="00D80E64" w:rsidP="00D700F5">
      <w:pPr>
        <w:jc w:val="both"/>
        <w:rPr>
          <w:rFonts w:ascii="Arial" w:hAnsi="Arial" w:cs="Arial"/>
          <w:b/>
          <w:bCs/>
          <w:smallCaps/>
          <w:sz w:val="22"/>
          <w:szCs w:val="22"/>
          <w:u w:val="single"/>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lastRenderedPageBreak/>
        <w:t xml:space="preserve">Article 5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bail commercial</w:t>
      </w:r>
    </w:p>
    <w:p w:rsidR="00D80E64" w:rsidRPr="00C610C7" w:rsidRDefault="00D80E64" w:rsidP="00D700F5">
      <w:pPr>
        <w:widowControl w:val="0"/>
        <w:autoSpaceDE w:val="0"/>
        <w:autoSpaceDN w:val="0"/>
        <w:adjustRightInd w:val="0"/>
        <w:jc w:val="both"/>
        <w:rPr>
          <w:rFonts w:ascii="Arial" w:hAnsi="Arial" w:cs="Arial"/>
          <w:b/>
          <w:sz w:val="22"/>
          <w:szCs w:val="22"/>
        </w:rPr>
      </w:pP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Le cessionnaire prendra en charge le paiement des loyers à compter de l’entrée en jouissance, réputée intervenir le lendemain de l’ordonnance autorisant la cession à son profit.</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441FF1" w:rsidRPr="00C610C7" w:rsidRDefault="00441FF1" w:rsidP="00441FF1">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Le cas échéant, à la signature de l’acte de cession définitif, l’acquéreur s’engage à reconstituer le dépôt de garantie entre les mains du bailleur.</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D80E64" w:rsidRPr="00C610C7" w:rsidRDefault="00D80E64" w:rsidP="00D700F5">
      <w:pPr>
        <w:widowControl w:val="0"/>
        <w:tabs>
          <w:tab w:val="left" w:pos="426"/>
        </w:tabs>
        <w:autoSpaceDE w:val="0"/>
        <w:autoSpaceDN w:val="0"/>
        <w:adjustRightInd w:val="0"/>
        <w:ind w:left="567"/>
        <w:jc w:val="both"/>
        <w:rPr>
          <w:rFonts w:ascii="Arial" w:hAnsi="Arial" w:cs="Arial"/>
          <w:b/>
          <w:bCs/>
          <w:sz w:val="22"/>
          <w:szCs w:val="22"/>
        </w:rPr>
      </w:pPr>
      <w:r w:rsidRPr="00C610C7">
        <w:rPr>
          <w:rFonts w:ascii="Arial" w:hAnsi="Arial" w:cs="Arial"/>
          <w:b/>
          <w:bCs/>
          <w:sz w:val="22"/>
          <w:szCs w:val="22"/>
        </w:rPr>
        <w:t>Plus généralement, l’acquéreur s’engage à respecter l’intégralité des dispositions contenues dans le bail commercial qui lui a été communiqué</w:t>
      </w:r>
      <w:r w:rsidR="00000E71">
        <w:rPr>
          <w:rFonts w:ascii="Arial" w:hAnsi="Arial" w:cs="Arial"/>
          <w:b/>
          <w:bCs/>
          <w:sz w:val="22"/>
          <w:szCs w:val="22"/>
        </w:rPr>
        <w:t>.</w:t>
      </w:r>
      <w:bookmarkStart w:id="2" w:name="_GoBack"/>
      <w:bookmarkEnd w:id="2"/>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A11A8D" w:rsidRDefault="00A11A8D" w:rsidP="00D700F5">
      <w:pPr>
        <w:widowControl w:val="0"/>
        <w:tabs>
          <w:tab w:val="left" w:pos="426"/>
        </w:tabs>
        <w:autoSpaceDE w:val="0"/>
        <w:autoSpaceDN w:val="0"/>
        <w:adjustRightInd w:val="0"/>
        <w:ind w:left="567"/>
        <w:jc w:val="both"/>
        <w:rPr>
          <w:rFonts w:ascii="Arial" w:hAnsi="Arial" w:cs="Arial"/>
          <w:sz w:val="22"/>
          <w:szCs w:val="22"/>
        </w:rPr>
      </w:pPr>
    </w:p>
    <w:p w:rsidR="00A11A8D" w:rsidRPr="00C610C7" w:rsidRDefault="00A11A8D" w:rsidP="00D700F5">
      <w:pPr>
        <w:widowControl w:val="0"/>
        <w:tabs>
          <w:tab w:val="left" w:pos="426"/>
        </w:tabs>
        <w:autoSpaceDE w:val="0"/>
        <w:autoSpaceDN w:val="0"/>
        <w:adjustRightInd w:val="0"/>
        <w:ind w:left="567"/>
        <w:jc w:val="both"/>
        <w:rPr>
          <w:rFonts w:ascii="Arial" w:hAnsi="Arial" w:cs="Arial"/>
          <w:sz w:val="22"/>
          <w:szCs w:val="22"/>
        </w:rPr>
      </w:pPr>
      <w:r>
        <w:rPr>
          <w:rFonts w:ascii="Arial" w:hAnsi="Arial" w:cs="Arial"/>
          <w:sz w:val="22"/>
          <w:szCs w:val="22"/>
        </w:rPr>
        <w:t>Enfin, dans l’hypothèse de l’existence d’un droit d’agrément prévu audit contrat, l’acquéreur est informé que la requête au Juge Commissaire tendant à solliciter l’autorisation de céder, ne pourra être établie qu’après avoir obtenu ledit agrément.</w:t>
      </w:r>
    </w:p>
    <w:p w:rsidR="00D80E64" w:rsidRPr="00C610C7" w:rsidRDefault="00D80E64" w:rsidP="00D700F5">
      <w:pPr>
        <w:widowControl w:val="0"/>
        <w:tabs>
          <w:tab w:val="left" w:pos="426"/>
        </w:tabs>
        <w:autoSpaceDE w:val="0"/>
        <w:autoSpaceDN w:val="0"/>
        <w:adjustRightInd w:val="0"/>
        <w:ind w:left="567"/>
        <w:jc w:val="both"/>
        <w:rPr>
          <w:rFonts w:ascii="Arial" w:hAnsi="Arial" w:cs="Arial"/>
          <w:sz w:val="22"/>
          <w:szCs w:val="22"/>
        </w:rPr>
      </w:pPr>
    </w:p>
    <w:p w:rsidR="00D71FAF" w:rsidRPr="00C610C7" w:rsidRDefault="00D71FAF" w:rsidP="00D71FAF">
      <w:pPr>
        <w:jc w:val="both"/>
        <w:rPr>
          <w:rFonts w:ascii="Arial" w:hAnsi="Arial" w:cs="Arial"/>
          <w:b/>
          <w:bCs/>
          <w:smallCaps/>
          <w:sz w:val="22"/>
          <w:szCs w:val="22"/>
          <w:u w:val="single"/>
        </w:rPr>
      </w:pPr>
      <w:r w:rsidRPr="00C610C7">
        <w:rPr>
          <w:rFonts w:ascii="Arial" w:hAnsi="Arial" w:cs="Arial"/>
          <w:b/>
          <w:bCs/>
          <w:smallCaps/>
          <w:sz w:val="22"/>
          <w:szCs w:val="22"/>
          <w:u w:val="single"/>
        </w:rPr>
        <w:t>Article 6 – transfert des risques</w:t>
      </w:r>
    </w:p>
    <w:p w:rsidR="00D71FAF" w:rsidRPr="00C610C7" w:rsidRDefault="00D71FAF" w:rsidP="00D71FAF">
      <w:pPr>
        <w:jc w:val="both"/>
        <w:rPr>
          <w:rFonts w:ascii="Arial" w:hAnsi="Arial" w:cs="Arial"/>
          <w:b/>
          <w:bCs/>
          <w:sz w:val="22"/>
          <w:szCs w:val="22"/>
          <w:u w:val="single"/>
        </w:rPr>
      </w:pPr>
    </w:p>
    <w:p w:rsidR="00D71FAF" w:rsidRPr="00C610C7" w:rsidRDefault="00D71FAF" w:rsidP="00D71FAF">
      <w:pPr>
        <w:tabs>
          <w:tab w:val="left" w:pos="567"/>
        </w:tabs>
        <w:spacing w:after="200" w:line="276" w:lineRule="auto"/>
        <w:ind w:left="567"/>
        <w:jc w:val="both"/>
        <w:rPr>
          <w:rFonts w:ascii="Arial" w:hAnsi="Arial" w:cs="Arial"/>
          <w:sz w:val="22"/>
          <w:szCs w:val="22"/>
        </w:rPr>
      </w:pPr>
      <w:r w:rsidRPr="00C610C7">
        <w:rPr>
          <w:rFonts w:ascii="Arial" w:hAnsi="Arial" w:cs="Arial"/>
          <w:sz w:val="22"/>
          <w:szCs w:val="22"/>
        </w:rPr>
        <w:t xml:space="preserve">Le transfert des risques est réputé intervenir le lendemain de l’ordonnance autorisant la cession. </w:t>
      </w:r>
    </w:p>
    <w:p w:rsidR="00D71FAF" w:rsidRPr="00C610C7" w:rsidRDefault="00D71FAF" w:rsidP="00D71FAF">
      <w:pPr>
        <w:tabs>
          <w:tab w:val="left" w:pos="567"/>
        </w:tabs>
        <w:spacing w:after="200" w:line="276" w:lineRule="auto"/>
        <w:ind w:left="567"/>
        <w:jc w:val="both"/>
        <w:rPr>
          <w:rFonts w:ascii="Arial" w:hAnsi="Arial" w:cs="Arial"/>
          <w:sz w:val="22"/>
          <w:szCs w:val="22"/>
        </w:rPr>
      </w:pPr>
      <w:r w:rsidRPr="00C610C7">
        <w:rPr>
          <w:rFonts w:ascii="Arial" w:hAnsi="Arial" w:cs="Arial"/>
          <w:sz w:val="22"/>
          <w:szCs w:val="22"/>
        </w:rPr>
        <w:t>Le cessionnaire s’engage à souscrire, à cette date, une police d’assurance couvrant les risques liés à l’exploitation du fonds et à l’occupation du local commercial.</w:t>
      </w:r>
    </w:p>
    <w:p w:rsidR="00D71FAF" w:rsidRPr="00C610C7" w:rsidRDefault="00D71FAF" w:rsidP="00D71FAF">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7 – entree en jouissance </w:t>
      </w:r>
    </w:p>
    <w:p w:rsidR="00D71FAF" w:rsidRPr="00C610C7" w:rsidRDefault="00D71FAF" w:rsidP="00D71FAF">
      <w:pPr>
        <w:ind w:firstLine="567"/>
        <w:jc w:val="both"/>
        <w:rPr>
          <w:rFonts w:ascii="Arial" w:hAnsi="Arial" w:cs="Arial"/>
          <w:sz w:val="22"/>
          <w:szCs w:val="22"/>
        </w:rPr>
      </w:pPr>
    </w:p>
    <w:p w:rsidR="00D71FAF" w:rsidRPr="00C610C7" w:rsidRDefault="00D71FAF" w:rsidP="00D71FAF">
      <w:pPr>
        <w:ind w:left="567"/>
        <w:jc w:val="both"/>
        <w:rPr>
          <w:rFonts w:ascii="Arial" w:hAnsi="Arial" w:cs="Arial"/>
          <w:sz w:val="22"/>
          <w:szCs w:val="22"/>
        </w:rPr>
      </w:pPr>
      <w:r w:rsidRPr="00C610C7">
        <w:rPr>
          <w:rFonts w:ascii="Arial" w:hAnsi="Arial" w:cs="Arial"/>
          <w:sz w:val="22"/>
          <w:szCs w:val="22"/>
        </w:rPr>
        <w:t>L’entrée en jouissance est réputée intervenir le lendemain de l’ordonnance autorisant la cession, de telle sorte que l’acquéreur sera redevable, à compter de cette date, du loyer et de l’ensemble des charges afférentes aux locaux d’exploitation.</w:t>
      </w:r>
    </w:p>
    <w:p w:rsidR="00D71FAF" w:rsidRPr="00C610C7" w:rsidRDefault="00D71FAF" w:rsidP="00303C09">
      <w:pPr>
        <w:ind w:firstLine="567"/>
        <w:jc w:val="both"/>
        <w:rPr>
          <w:rFonts w:ascii="Arial" w:hAnsi="Arial" w:cs="Arial"/>
          <w:b/>
          <w:bCs/>
          <w:smallCaps/>
          <w:sz w:val="22"/>
          <w:szCs w:val="22"/>
          <w:u w:val="single"/>
        </w:rPr>
      </w:pPr>
    </w:p>
    <w:p w:rsidR="00D80E64" w:rsidRPr="00C610C7" w:rsidRDefault="00D80E64" w:rsidP="00303C09">
      <w:pPr>
        <w:ind w:firstLine="567"/>
        <w:jc w:val="both"/>
        <w:rPr>
          <w:rFonts w:ascii="Arial" w:hAnsi="Arial" w:cs="Arial"/>
          <w:b/>
          <w:bCs/>
          <w:smallCaps/>
          <w:sz w:val="22"/>
          <w:szCs w:val="22"/>
          <w:u w:val="single"/>
        </w:rPr>
      </w:pPr>
      <w:r w:rsidRPr="00C610C7">
        <w:rPr>
          <w:rFonts w:ascii="Arial" w:hAnsi="Arial" w:cs="Arial"/>
          <w:b/>
          <w:bCs/>
          <w:smallCaps/>
          <w:sz w:val="22"/>
          <w:szCs w:val="22"/>
          <w:u w:val="single"/>
        </w:rPr>
        <w:t xml:space="preserve">droit de preemption </w:t>
      </w:r>
    </w:p>
    <w:p w:rsidR="00D80E64" w:rsidRPr="00C610C7" w:rsidRDefault="00D80E64" w:rsidP="00D700F5">
      <w:pPr>
        <w:jc w:val="both"/>
        <w:rPr>
          <w:rFonts w:ascii="Arial" w:hAnsi="Arial" w:cs="Arial"/>
          <w:b/>
          <w:bCs/>
          <w:sz w:val="22"/>
          <w:szCs w:val="22"/>
          <w:u w:val="single"/>
        </w:rPr>
      </w:pPr>
    </w:p>
    <w:p w:rsidR="00D80E64" w:rsidRPr="00C610C7" w:rsidRDefault="00D80E64" w:rsidP="005D1704">
      <w:pPr>
        <w:ind w:left="567"/>
        <w:jc w:val="both"/>
        <w:rPr>
          <w:rFonts w:ascii="Arial" w:hAnsi="Arial" w:cs="Arial"/>
          <w:sz w:val="22"/>
          <w:szCs w:val="22"/>
        </w:rPr>
      </w:pPr>
      <w:r w:rsidRPr="00C610C7">
        <w:rPr>
          <w:rFonts w:ascii="Arial" w:hAnsi="Arial" w:cs="Arial"/>
          <w:sz w:val="22"/>
          <w:szCs w:val="22"/>
        </w:rPr>
        <w:t>Le cessionnaire reconnaît être informé de l’existence d’un droit de préemption légal au profit des communes, relatif aux cessions intervenant dans le périmètre de sauvegarde du commerce et de l’artisanat ainsi que de l’existence d’un droit de préemption conve</w:t>
      </w:r>
      <w:r w:rsidR="00173F32">
        <w:rPr>
          <w:rFonts w:ascii="Arial" w:hAnsi="Arial" w:cs="Arial"/>
          <w:sz w:val="22"/>
          <w:szCs w:val="22"/>
        </w:rPr>
        <w:t>ntionnel au profit du bailleur.</w:t>
      </w:r>
    </w:p>
    <w:p w:rsidR="00D80E64" w:rsidRPr="00C610C7" w:rsidRDefault="00D80E64" w:rsidP="005D1704">
      <w:pPr>
        <w:ind w:left="567"/>
        <w:jc w:val="both"/>
        <w:rPr>
          <w:rFonts w:ascii="Arial" w:hAnsi="Arial" w:cs="Arial"/>
          <w:sz w:val="22"/>
          <w:szCs w:val="22"/>
        </w:rPr>
      </w:pPr>
    </w:p>
    <w:p w:rsidR="00D80E64" w:rsidRPr="00C610C7" w:rsidRDefault="00D80E64" w:rsidP="005D1704">
      <w:pPr>
        <w:ind w:left="567"/>
        <w:jc w:val="both"/>
        <w:rPr>
          <w:rFonts w:ascii="Arial" w:hAnsi="Arial" w:cs="Arial"/>
          <w:sz w:val="22"/>
          <w:szCs w:val="22"/>
        </w:rPr>
      </w:pPr>
      <w:r w:rsidRPr="00C610C7">
        <w:rPr>
          <w:rFonts w:ascii="Arial" w:hAnsi="Arial" w:cs="Arial"/>
          <w:sz w:val="22"/>
          <w:szCs w:val="22"/>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00D80E64" w:rsidRPr="00C610C7" w:rsidRDefault="00D80E64" w:rsidP="00D700F5">
      <w:pPr>
        <w:jc w:val="both"/>
        <w:rPr>
          <w:rFonts w:ascii="Arial" w:hAnsi="Arial" w:cs="Arial"/>
          <w:sz w:val="22"/>
          <w:szCs w:val="22"/>
        </w:rPr>
      </w:pPr>
    </w:p>
    <w:p w:rsidR="00255D60" w:rsidRPr="00C610C7" w:rsidRDefault="00255D60" w:rsidP="00255D60">
      <w:pPr>
        <w:tabs>
          <w:tab w:val="left" w:pos="567"/>
        </w:tabs>
        <w:spacing w:after="200" w:line="276" w:lineRule="auto"/>
        <w:ind w:left="567"/>
        <w:jc w:val="both"/>
        <w:rPr>
          <w:rFonts w:ascii="Arial" w:hAnsi="Arial" w:cs="Arial"/>
          <w:b/>
          <w:bCs/>
          <w:smallCaps/>
          <w:sz w:val="22"/>
          <w:szCs w:val="22"/>
          <w:u w:val="single"/>
        </w:rPr>
      </w:pPr>
      <w:r w:rsidRPr="00C610C7">
        <w:rPr>
          <w:rFonts w:ascii="Arial" w:hAnsi="Arial" w:cs="Arial"/>
          <w:b/>
          <w:bCs/>
          <w:smallCaps/>
          <w:sz w:val="22"/>
          <w:szCs w:val="22"/>
          <w:u w:val="single"/>
        </w:rPr>
        <w:t>voies de recours</w:t>
      </w:r>
    </w:p>
    <w:p w:rsidR="00255D60" w:rsidRDefault="00255D60" w:rsidP="00255D60">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 xml:space="preserve">L’acquéreur déclare faire son affaire personnelle et conserver à sa charge, </w:t>
      </w:r>
      <w:r w:rsidRPr="00C610C7">
        <w:rPr>
          <w:rFonts w:ascii="Arial" w:hAnsi="Arial" w:cs="Arial"/>
          <w:b/>
          <w:bCs/>
          <w:sz w:val="22"/>
          <w:szCs w:val="22"/>
          <w:u w:val="single"/>
        </w:rPr>
        <w:t>sans aucun recours contre la liquidation judiciaire</w:t>
      </w:r>
      <w:r w:rsidRPr="00C610C7">
        <w:rPr>
          <w:rFonts w:ascii="Arial" w:hAnsi="Arial" w:cs="Arial"/>
          <w:bCs/>
          <w:sz w:val="22"/>
          <w:szCs w:val="22"/>
        </w:rPr>
        <w:t>,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w:t>
      </w:r>
    </w:p>
    <w:p w:rsidR="003644DD" w:rsidRPr="00C610C7" w:rsidRDefault="003644DD" w:rsidP="00255D60">
      <w:pPr>
        <w:widowControl w:val="0"/>
        <w:tabs>
          <w:tab w:val="left" w:pos="426"/>
        </w:tabs>
        <w:autoSpaceDE w:val="0"/>
        <w:autoSpaceDN w:val="0"/>
        <w:adjustRightInd w:val="0"/>
        <w:ind w:left="567"/>
        <w:jc w:val="both"/>
        <w:rPr>
          <w:rFonts w:ascii="Arial" w:hAnsi="Arial" w:cs="Arial"/>
          <w:bCs/>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w:t>
      </w:r>
      <w:r w:rsidR="00D71FAF" w:rsidRPr="00C610C7">
        <w:rPr>
          <w:rFonts w:ascii="Arial" w:hAnsi="Arial" w:cs="Arial"/>
          <w:b/>
          <w:bCs/>
          <w:smallCaps/>
          <w:sz w:val="22"/>
          <w:szCs w:val="22"/>
          <w:u w:val="single"/>
        </w:rPr>
        <w:t>8</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 frais imputables a l’acquéreur</w:t>
      </w:r>
    </w:p>
    <w:p w:rsidR="00D80E64" w:rsidRPr="00C610C7" w:rsidRDefault="00D80E64" w:rsidP="00D700F5">
      <w:pPr>
        <w:widowControl w:val="0"/>
        <w:autoSpaceDE w:val="0"/>
        <w:autoSpaceDN w:val="0"/>
        <w:adjustRightInd w:val="0"/>
        <w:jc w:val="both"/>
        <w:rPr>
          <w:rFonts w:ascii="Arial" w:hAnsi="Arial" w:cs="Arial"/>
          <w:b/>
          <w:sz w:val="22"/>
          <w:szCs w:val="22"/>
        </w:rPr>
      </w:pPr>
    </w:p>
    <w:p w:rsidR="00F52FB2" w:rsidRPr="00C610C7" w:rsidRDefault="00F52FB2" w:rsidP="00F52FB2">
      <w:pPr>
        <w:widowControl w:val="0"/>
        <w:tabs>
          <w:tab w:val="left" w:pos="426"/>
        </w:tabs>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L’ensemble des frais liés à la cession, les honoraires de rédaction d’acte </w:t>
      </w:r>
      <w:r w:rsidRPr="00C610C7">
        <w:rPr>
          <w:rFonts w:ascii="Arial" w:hAnsi="Arial" w:cs="Arial"/>
          <w:b/>
          <w:sz w:val="22"/>
          <w:szCs w:val="22"/>
          <w:u w:val="single"/>
        </w:rPr>
        <w:t>en ce compris les honoraires du conseil du cessionnaire mais également les honoraires du conseil du cédant</w:t>
      </w:r>
      <w:r w:rsidRPr="00C610C7">
        <w:rPr>
          <w:rFonts w:ascii="Arial" w:hAnsi="Arial" w:cs="Arial"/>
          <w:sz w:val="22"/>
          <w:szCs w:val="22"/>
        </w:rPr>
        <w:t>, ainsi que tous les droits, taxes et autres débours qui pourront en résulter, sont à la charge de l’acquéreur, qui s’y oblige.</w:t>
      </w:r>
    </w:p>
    <w:p w:rsidR="00F52FB2" w:rsidRPr="00C610C7" w:rsidRDefault="00F52FB2" w:rsidP="00D700F5">
      <w:pPr>
        <w:widowControl w:val="0"/>
        <w:autoSpaceDE w:val="0"/>
        <w:autoSpaceDN w:val="0"/>
        <w:adjustRightInd w:val="0"/>
        <w:jc w:val="both"/>
        <w:rPr>
          <w:rFonts w:ascii="Arial" w:hAnsi="Arial" w:cs="Arial"/>
          <w:sz w:val="22"/>
          <w:szCs w:val="22"/>
        </w:rPr>
      </w:pPr>
    </w:p>
    <w:p w:rsidR="00D80E64" w:rsidRPr="00C610C7" w:rsidRDefault="00D71FAF" w:rsidP="00D700F5">
      <w:pPr>
        <w:jc w:val="both"/>
        <w:rPr>
          <w:rFonts w:ascii="Arial" w:hAnsi="Arial" w:cs="Arial"/>
          <w:b/>
          <w:bCs/>
          <w:smallCaps/>
          <w:sz w:val="22"/>
          <w:szCs w:val="22"/>
          <w:u w:val="single"/>
        </w:rPr>
      </w:pPr>
      <w:r w:rsidRPr="00C610C7">
        <w:rPr>
          <w:rFonts w:ascii="Arial" w:hAnsi="Arial" w:cs="Arial"/>
          <w:b/>
          <w:bCs/>
          <w:smallCaps/>
          <w:sz w:val="22"/>
          <w:szCs w:val="22"/>
          <w:u w:val="single"/>
        </w:rPr>
        <w:lastRenderedPageBreak/>
        <w:t>Article 9</w:t>
      </w:r>
      <w:r w:rsidR="00D80E64" w:rsidRPr="00C610C7">
        <w:rPr>
          <w:rFonts w:ascii="Arial" w:hAnsi="Arial" w:cs="Arial"/>
          <w:b/>
          <w:bCs/>
          <w:smallCaps/>
          <w:sz w:val="22"/>
          <w:szCs w:val="22"/>
          <w:u w:val="single"/>
        </w:rPr>
        <w:t xml:space="preserve"> </w:t>
      </w:r>
      <w:r w:rsidR="00D80E64" w:rsidRPr="00C610C7">
        <w:rPr>
          <w:rFonts w:ascii="Arial" w:hAnsi="Arial" w:cs="Arial"/>
          <w:bCs/>
          <w:smallCaps/>
          <w:sz w:val="22"/>
          <w:szCs w:val="22"/>
          <w:u w:val="single"/>
        </w:rPr>
        <w:t>-</w:t>
      </w:r>
      <w:r w:rsidR="00D80E64" w:rsidRPr="00C610C7">
        <w:rPr>
          <w:rFonts w:ascii="Arial" w:hAnsi="Arial" w:cs="Arial"/>
          <w:b/>
          <w:bCs/>
          <w:smallCaps/>
          <w:sz w:val="22"/>
          <w:szCs w:val="22"/>
          <w:u w:val="single"/>
        </w:rPr>
        <w:t xml:space="preserve"> formalités </w:t>
      </w:r>
    </w:p>
    <w:p w:rsidR="00D80E64" w:rsidRPr="00C610C7" w:rsidRDefault="00D80E64" w:rsidP="00D700F5">
      <w:pPr>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Le Cessionnaire exécutera, dans les délais légaux, les formalités de publicité prévues à l’article L.141-12 du Code de Commerce.</w:t>
      </w:r>
    </w:p>
    <w:p w:rsidR="00D80E64" w:rsidRPr="00C610C7" w:rsidRDefault="00D80E64" w:rsidP="00D700F5">
      <w:pPr>
        <w:ind w:left="567"/>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Par ailleurs, les formalités de radiation des inscriptions seront à la charge du Cessionnaire et se feront conformément aux dispositions de l’article R.642-38 du Code de Commerce.</w:t>
      </w:r>
    </w:p>
    <w:p w:rsidR="00D80E64" w:rsidRPr="00C610C7" w:rsidRDefault="00D80E64" w:rsidP="00D700F5">
      <w:pPr>
        <w:jc w:val="both"/>
        <w:rPr>
          <w:rFonts w:ascii="Arial" w:hAnsi="Arial" w:cs="Arial"/>
          <w:iCs/>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w:t>
      </w:r>
      <w:r w:rsidR="00D71FAF" w:rsidRPr="00C610C7">
        <w:rPr>
          <w:rFonts w:ascii="Arial" w:hAnsi="Arial" w:cs="Arial"/>
          <w:b/>
          <w:bCs/>
          <w:smallCaps/>
          <w:sz w:val="22"/>
          <w:szCs w:val="22"/>
          <w:u w:val="single"/>
        </w:rPr>
        <w:t>10</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 </w:t>
      </w:r>
      <w:r w:rsidRPr="00C610C7">
        <w:rPr>
          <w:rFonts w:ascii="Arial" w:hAnsi="Arial" w:cs="Arial"/>
          <w:b/>
          <w:smallCaps/>
          <w:sz w:val="22"/>
          <w:szCs w:val="22"/>
          <w:u w:val="single"/>
        </w:rPr>
        <w:t>personnel salarie</w:t>
      </w:r>
      <w:r w:rsidRPr="00C610C7">
        <w:rPr>
          <w:rFonts w:ascii="Arial" w:hAnsi="Arial" w:cs="Arial"/>
          <w:b/>
          <w:bCs/>
          <w:smallCaps/>
          <w:sz w:val="22"/>
          <w:szCs w:val="22"/>
          <w:u w:val="single"/>
        </w:rPr>
        <w:t xml:space="preserve"> </w:t>
      </w:r>
    </w:p>
    <w:p w:rsidR="00D80E64" w:rsidRPr="00C610C7" w:rsidRDefault="00D80E64" w:rsidP="00D700F5">
      <w:pPr>
        <w:widowControl w:val="0"/>
        <w:tabs>
          <w:tab w:val="left" w:pos="426"/>
        </w:tabs>
        <w:autoSpaceDE w:val="0"/>
        <w:autoSpaceDN w:val="0"/>
        <w:adjustRightInd w:val="0"/>
        <w:ind w:left="567"/>
        <w:jc w:val="both"/>
        <w:rPr>
          <w:rFonts w:ascii="Arial" w:hAnsi="Arial" w:cs="Arial"/>
          <w:b/>
          <w:sz w:val="22"/>
          <w:szCs w:val="22"/>
        </w:rPr>
      </w:pPr>
    </w:p>
    <w:p w:rsidR="00725431" w:rsidRPr="00C610C7" w:rsidRDefault="00725431" w:rsidP="00D700F5">
      <w:pPr>
        <w:widowControl w:val="0"/>
        <w:autoSpaceDE w:val="0"/>
        <w:autoSpaceDN w:val="0"/>
        <w:adjustRightInd w:val="0"/>
        <w:ind w:left="680" w:hanging="113"/>
        <w:jc w:val="both"/>
        <w:rPr>
          <w:rFonts w:ascii="Arial" w:hAnsi="Arial" w:cs="Arial"/>
          <w:b/>
          <w:sz w:val="22"/>
          <w:szCs w:val="22"/>
        </w:rPr>
      </w:pP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Il est précisé qu’au jour de la liquidation judiciaire, le personnel attaché à l’é</w:t>
      </w:r>
      <w:r w:rsidR="00173F32">
        <w:rPr>
          <w:rFonts w:ascii="Arial" w:hAnsi="Arial" w:cs="Arial"/>
          <w:bCs/>
          <w:sz w:val="22"/>
          <w:szCs w:val="22"/>
        </w:rPr>
        <w:t>tablissement était composé de</w:t>
      </w:r>
      <w:r w:rsidR="00000E71">
        <w:rPr>
          <w:rFonts w:ascii="Arial" w:hAnsi="Arial" w:cs="Arial"/>
          <w:bCs/>
          <w:sz w:val="22"/>
          <w:szCs w:val="22"/>
        </w:rPr>
        <w:t xml:space="preserve"> </w:t>
      </w:r>
      <w:r w:rsidR="00173F32">
        <w:rPr>
          <w:rFonts w:ascii="Arial" w:hAnsi="Arial" w:cs="Arial"/>
          <w:bCs/>
          <w:sz w:val="22"/>
          <w:szCs w:val="22"/>
        </w:rPr>
        <w:t>4</w:t>
      </w:r>
      <w:r w:rsidRPr="00C610C7">
        <w:rPr>
          <w:rFonts w:ascii="Arial" w:hAnsi="Arial" w:cs="Arial"/>
          <w:bCs/>
          <w:sz w:val="22"/>
          <w:szCs w:val="22"/>
        </w:rPr>
        <w:t xml:space="preserve"> personnes, ayant à ce jour fait l’objet d’une procédure de licenciement pour motif économique. La notification du licenciement est d’ores et déjà intervenue, étant précisé, qu’en l’état l’ensemble de ces contrats a fait</w:t>
      </w:r>
      <w:r w:rsidR="00615E6A">
        <w:rPr>
          <w:rFonts w:ascii="Arial" w:hAnsi="Arial" w:cs="Arial"/>
          <w:bCs/>
          <w:sz w:val="22"/>
          <w:szCs w:val="22"/>
        </w:rPr>
        <w:t xml:space="preserve">/ ou fera </w:t>
      </w:r>
      <w:r w:rsidRPr="00C610C7">
        <w:rPr>
          <w:rFonts w:ascii="Arial" w:hAnsi="Arial" w:cs="Arial"/>
          <w:bCs/>
          <w:sz w:val="22"/>
          <w:szCs w:val="22"/>
        </w:rPr>
        <w:t>l’objet d’une rupture effective.</w:t>
      </w: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L’offrant se reconnait toutefois être informé qu’il pourrait peser un risque dans l’hypothèse où des actions éventuelles seraient mises en œuvre par les salariés licenciés, sur le fondement des dispositions d’ordre public de l’article L.1224-1 du Code du Travail.</w:t>
      </w: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p>
    <w:p w:rsidR="00725431" w:rsidRPr="00C610C7" w:rsidRDefault="00725431" w:rsidP="00725431">
      <w:pPr>
        <w:widowControl w:val="0"/>
        <w:tabs>
          <w:tab w:val="left" w:pos="426"/>
        </w:tabs>
        <w:autoSpaceDE w:val="0"/>
        <w:autoSpaceDN w:val="0"/>
        <w:adjustRightInd w:val="0"/>
        <w:ind w:left="567"/>
        <w:jc w:val="both"/>
        <w:rPr>
          <w:rFonts w:ascii="Arial" w:hAnsi="Arial" w:cs="Arial"/>
          <w:b/>
          <w:bCs/>
          <w:sz w:val="22"/>
          <w:szCs w:val="22"/>
        </w:rPr>
      </w:pPr>
      <w:r w:rsidRPr="00C610C7">
        <w:rPr>
          <w:rFonts w:ascii="Arial" w:hAnsi="Arial" w:cs="Arial"/>
          <w:b/>
          <w:bCs/>
          <w:sz w:val="22"/>
          <w:szCs w:val="22"/>
        </w:rPr>
        <w:t>Dans ce cadre, l’acquéreur s’engage expressément à faire son affaire personnelle de ses éventuelles actions.</w:t>
      </w:r>
    </w:p>
    <w:p w:rsidR="00725431" w:rsidRPr="00C610C7" w:rsidRDefault="00725431" w:rsidP="00D700F5">
      <w:pPr>
        <w:widowControl w:val="0"/>
        <w:autoSpaceDE w:val="0"/>
        <w:autoSpaceDN w:val="0"/>
        <w:adjustRightInd w:val="0"/>
        <w:ind w:left="680" w:hanging="113"/>
        <w:jc w:val="both"/>
        <w:rPr>
          <w:rFonts w:ascii="Arial" w:hAnsi="Arial" w:cs="Arial"/>
          <w:b/>
          <w:sz w:val="22"/>
          <w:szCs w:val="22"/>
        </w:rPr>
      </w:pPr>
    </w:p>
    <w:p w:rsidR="00D80E64" w:rsidRPr="00C610C7" w:rsidRDefault="00D80E64" w:rsidP="00D700F5">
      <w:pPr>
        <w:jc w:val="both"/>
        <w:rPr>
          <w:rFonts w:ascii="Arial" w:hAnsi="Arial" w:cs="Arial"/>
          <w:i/>
          <w:iCs/>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Je soussigné(e)…………………………………………………………………………………</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 xml:space="preserve">atteste avoir pris connaissance de l’intégralité des conditions de cession fixées ci-dessus, et déclare les accepter sans exception ni réserve, dans l’hypothèse où la cession serait autorisée à mon profit.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Pour valoir ce que de droit.</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Fait à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Le :</w:t>
      </w:r>
    </w:p>
    <w:p w:rsidR="00D80E64" w:rsidRPr="00C610C7" w:rsidRDefault="00D80E64" w:rsidP="00D700F5">
      <w:pPr>
        <w:ind w:left="708"/>
        <w:jc w:val="both"/>
        <w:rPr>
          <w:rFonts w:ascii="Arial" w:hAnsi="Arial" w:cs="Arial"/>
          <w:i/>
          <w:sz w:val="22"/>
          <w:szCs w:val="22"/>
        </w:rPr>
      </w:pPr>
    </w:p>
    <w:p w:rsidR="00D80E64" w:rsidRPr="00C610C7" w:rsidRDefault="00D80E64" w:rsidP="002F0BF5">
      <w:pPr>
        <w:ind w:left="708"/>
        <w:jc w:val="both"/>
        <w:rPr>
          <w:rFonts w:ascii="Arial" w:hAnsi="Arial" w:cs="Arial"/>
          <w:b/>
          <w:bCs/>
          <w:smallCaps/>
          <w:sz w:val="22"/>
          <w:szCs w:val="22"/>
          <w:u w:val="single"/>
        </w:rPr>
      </w:pPr>
      <w:r w:rsidRPr="00C610C7">
        <w:rPr>
          <w:rFonts w:ascii="Arial" w:hAnsi="Arial" w:cs="Arial"/>
          <w:i/>
          <w:sz w:val="22"/>
          <w:szCs w:val="22"/>
        </w:rPr>
        <w:t>Signature :</w:t>
      </w:r>
    </w:p>
    <w:sectPr w:rsidR="00D80E64" w:rsidRPr="00C610C7" w:rsidSect="00BD0BDC">
      <w:headerReference w:type="default" r:id="rId8"/>
      <w:footerReference w:type="default" r:id="rId9"/>
      <w:footerReference w:type="first" r:id="rId10"/>
      <w:pgSz w:w="11907" w:h="16840"/>
      <w:pgMar w:top="646" w:right="1418" w:bottom="1021" w:left="851" w:header="567" w:footer="567" w:gutter="0"/>
      <w:cols w:space="720"/>
      <w:noEndnote/>
      <w:titlePg/>
      <w:rtlGutter/>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8D" w:rsidRDefault="00A11A8D" w:rsidP="00677591">
      <w:r>
        <w:separator/>
      </w:r>
    </w:p>
  </w:endnote>
  <w:endnote w:type="continuationSeparator" w:id="0">
    <w:p w:rsidR="00A11A8D" w:rsidRDefault="00A11A8D" w:rsidP="0067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8D" w:rsidRDefault="00A11A8D" w:rsidP="00F64D65">
    <w:pPr>
      <w:pStyle w:val="Pieddepage"/>
      <w:pBdr>
        <w:top w:val="thinThickSmallGap" w:sz="24" w:space="1" w:color="622423"/>
      </w:pBdr>
      <w:tabs>
        <w:tab w:val="clear" w:pos="4536"/>
        <w:tab w:val="clear" w:pos="9072"/>
        <w:tab w:val="right" w:pos="9638"/>
      </w:tabs>
      <w:rPr>
        <w:rFonts w:ascii="Cambria" w:hAnsi="Cambria"/>
      </w:rPr>
    </w:pPr>
    <w:r>
      <w:rPr>
        <w:rFonts w:ascii="Cambria" w:hAnsi="Cambria"/>
      </w:rPr>
      <w:t>Paraphe :</w:t>
    </w:r>
    <w:r>
      <w:rPr>
        <w:rFonts w:ascii="Cambria" w:hAnsi="Cambria"/>
      </w:rPr>
      <w:tab/>
      <w:t xml:space="preserve">Page </w:t>
    </w:r>
    <w:r>
      <w:fldChar w:fldCharType="begin"/>
    </w:r>
    <w:r>
      <w:instrText xml:space="preserve"> PAGE   \* MERGEFORMAT </w:instrText>
    </w:r>
    <w:r>
      <w:fldChar w:fldCharType="separate"/>
    </w:r>
    <w:r w:rsidR="00000E71" w:rsidRPr="00000E71">
      <w:rPr>
        <w:rFonts w:ascii="Cambria" w:hAnsi="Cambria"/>
        <w:noProof/>
      </w:rPr>
      <w:t>3</w:t>
    </w:r>
    <w:r>
      <w:rPr>
        <w:rFonts w:ascii="Cambria" w:hAnsi="Cambria"/>
        <w:noProof/>
      </w:rPr>
      <w:fldChar w:fldCharType="end"/>
    </w:r>
  </w:p>
  <w:p w:rsidR="00A11A8D" w:rsidRDefault="00A11A8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8D" w:rsidRDefault="00A11A8D" w:rsidP="00BD0BDC">
    <w:pPr>
      <w:pStyle w:val="Pieddepage"/>
      <w:pBdr>
        <w:top w:val="thinThickSmallGap" w:sz="24" w:space="1" w:color="622423"/>
      </w:pBdr>
      <w:tabs>
        <w:tab w:val="clear" w:pos="4536"/>
        <w:tab w:val="clear" w:pos="9072"/>
        <w:tab w:val="right" w:pos="9638"/>
      </w:tabs>
      <w:rPr>
        <w:rFonts w:ascii="Cambria" w:hAnsi="Cambria"/>
      </w:rPr>
    </w:pPr>
    <w:r>
      <w:rPr>
        <w:rFonts w:ascii="Cambria" w:hAnsi="Cambria"/>
      </w:rPr>
      <w:t>Paraphe :</w:t>
    </w:r>
    <w:r>
      <w:rPr>
        <w:rFonts w:ascii="Cambria" w:hAnsi="Cambria"/>
      </w:rPr>
      <w:tab/>
      <w:t xml:space="preserve">Page </w:t>
    </w:r>
    <w:r>
      <w:fldChar w:fldCharType="begin"/>
    </w:r>
    <w:r>
      <w:instrText xml:space="preserve"> PAGE   \* MERGEFORMAT </w:instrText>
    </w:r>
    <w:r>
      <w:fldChar w:fldCharType="separate"/>
    </w:r>
    <w:r w:rsidR="00000E71" w:rsidRPr="00000E71">
      <w:rPr>
        <w:rFonts w:ascii="Cambria" w:hAnsi="Cambria"/>
        <w:noProof/>
      </w:rPr>
      <w:t>1</w:t>
    </w:r>
    <w:r>
      <w:rPr>
        <w:rFonts w:ascii="Cambria" w:hAnsi="Cambria"/>
        <w:noProof/>
      </w:rPr>
      <w:fldChar w:fldCharType="end"/>
    </w:r>
  </w:p>
  <w:p w:rsidR="00A11A8D" w:rsidRDefault="00A11A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8D" w:rsidRDefault="00A11A8D" w:rsidP="00677591">
      <w:r>
        <w:separator/>
      </w:r>
    </w:p>
  </w:footnote>
  <w:footnote w:type="continuationSeparator" w:id="0">
    <w:p w:rsidR="00A11A8D" w:rsidRDefault="00A11A8D" w:rsidP="0067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8D" w:rsidRDefault="00A11A8D">
    <w:pPr>
      <w:widowControl w:val="0"/>
      <w:tabs>
        <w:tab w:val="center" w:pos="4819"/>
        <w:tab w:val="right" w:pos="9639"/>
      </w:tabs>
      <w:autoSpaceDE w:val="0"/>
      <w:autoSpaceDN w:val="0"/>
      <w:adjustRightInd w:val="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A12D2D0"/>
    <w:lvl w:ilvl="0">
      <w:numFmt w:val="decimal"/>
      <w:lvlText w:val="*"/>
      <w:lvlJc w:val="left"/>
      <w:rPr>
        <w:rFonts w:cs="Times New Roman"/>
      </w:rPr>
    </w:lvl>
  </w:abstractNum>
  <w:abstractNum w:abstractNumId="1" w15:restartNumberingAfterBreak="0">
    <w:nsid w:val="04E87A3C"/>
    <w:multiLevelType w:val="hybridMultilevel"/>
    <w:tmpl w:val="219CE7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23402"/>
    <w:multiLevelType w:val="hybridMultilevel"/>
    <w:tmpl w:val="C742BE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C551ADD"/>
    <w:multiLevelType w:val="hybridMultilevel"/>
    <w:tmpl w:val="3A38DB36"/>
    <w:lvl w:ilvl="0" w:tplc="2B2C99EA">
      <w:start w:val="12"/>
      <w:numFmt w:val="bullet"/>
      <w:lvlText w:val="-"/>
      <w:lvlJc w:val="left"/>
      <w:pPr>
        <w:tabs>
          <w:tab w:val="num" w:pos="1834"/>
        </w:tabs>
        <w:ind w:left="1834" w:hanging="360"/>
      </w:pPr>
      <w:rPr>
        <w:rFonts w:ascii="Times New Roman" w:eastAsia="Times New Roman" w:hAnsi="Times New Roman" w:hint="default"/>
      </w:rPr>
    </w:lvl>
    <w:lvl w:ilvl="1" w:tplc="040C0003" w:tentative="1">
      <w:start w:val="1"/>
      <w:numFmt w:val="bullet"/>
      <w:lvlText w:val="o"/>
      <w:lvlJc w:val="left"/>
      <w:pPr>
        <w:tabs>
          <w:tab w:val="num" w:pos="2554"/>
        </w:tabs>
        <w:ind w:left="2554" w:hanging="360"/>
      </w:pPr>
      <w:rPr>
        <w:rFonts w:ascii="Courier New" w:hAnsi="Courier New" w:hint="default"/>
      </w:rPr>
    </w:lvl>
    <w:lvl w:ilvl="2" w:tplc="040C0005" w:tentative="1">
      <w:start w:val="1"/>
      <w:numFmt w:val="bullet"/>
      <w:lvlText w:val=""/>
      <w:lvlJc w:val="left"/>
      <w:pPr>
        <w:tabs>
          <w:tab w:val="num" w:pos="3274"/>
        </w:tabs>
        <w:ind w:left="3274" w:hanging="360"/>
      </w:pPr>
      <w:rPr>
        <w:rFonts w:ascii="Wingdings" w:hAnsi="Wingdings" w:hint="default"/>
      </w:rPr>
    </w:lvl>
    <w:lvl w:ilvl="3" w:tplc="040C0001" w:tentative="1">
      <w:start w:val="1"/>
      <w:numFmt w:val="bullet"/>
      <w:lvlText w:val=""/>
      <w:lvlJc w:val="left"/>
      <w:pPr>
        <w:tabs>
          <w:tab w:val="num" w:pos="3994"/>
        </w:tabs>
        <w:ind w:left="3994" w:hanging="360"/>
      </w:pPr>
      <w:rPr>
        <w:rFonts w:ascii="Symbol" w:hAnsi="Symbol" w:hint="default"/>
      </w:rPr>
    </w:lvl>
    <w:lvl w:ilvl="4" w:tplc="040C0003" w:tentative="1">
      <w:start w:val="1"/>
      <w:numFmt w:val="bullet"/>
      <w:lvlText w:val="o"/>
      <w:lvlJc w:val="left"/>
      <w:pPr>
        <w:tabs>
          <w:tab w:val="num" w:pos="4714"/>
        </w:tabs>
        <w:ind w:left="4714" w:hanging="360"/>
      </w:pPr>
      <w:rPr>
        <w:rFonts w:ascii="Courier New" w:hAnsi="Courier New" w:hint="default"/>
      </w:rPr>
    </w:lvl>
    <w:lvl w:ilvl="5" w:tplc="040C0005" w:tentative="1">
      <w:start w:val="1"/>
      <w:numFmt w:val="bullet"/>
      <w:lvlText w:val=""/>
      <w:lvlJc w:val="left"/>
      <w:pPr>
        <w:tabs>
          <w:tab w:val="num" w:pos="5434"/>
        </w:tabs>
        <w:ind w:left="5434" w:hanging="360"/>
      </w:pPr>
      <w:rPr>
        <w:rFonts w:ascii="Wingdings" w:hAnsi="Wingdings" w:hint="default"/>
      </w:rPr>
    </w:lvl>
    <w:lvl w:ilvl="6" w:tplc="040C0001" w:tentative="1">
      <w:start w:val="1"/>
      <w:numFmt w:val="bullet"/>
      <w:lvlText w:val=""/>
      <w:lvlJc w:val="left"/>
      <w:pPr>
        <w:tabs>
          <w:tab w:val="num" w:pos="6154"/>
        </w:tabs>
        <w:ind w:left="6154" w:hanging="360"/>
      </w:pPr>
      <w:rPr>
        <w:rFonts w:ascii="Symbol" w:hAnsi="Symbol" w:hint="default"/>
      </w:rPr>
    </w:lvl>
    <w:lvl w:ilvl="7" w:tplc="040C0003" w:tentative="1">
      <w:start w:val="1"/>
      <w:numFmt w:val="bullet"/>
      <w:lvlText w:val="o"/>
      <w:lvlJc w:val="left"/>
      <w:pPr>
        <w:tabs>
          <w:tab w:val="num" w:pos="6874"/>
        </w:tabs>
        <w:ind w:left="6874" w:hanging="360"/>
      </w:pPr>
      <w:rPr>
        <w:rFonts w:ascii="Courier New" w:hAnsi="Courier New" w:hint="default"/>
      </w:rPr>
    </w:lvl>
    <w:lvl w:ilvl="8" w:tplc="040C0005" w:tentative="1">
      <w:start w:val="1"/>
      <w:numFmt w:val="bullet"/>
      <w:lvlText w:val=""/>
      <w:lvlJc w:val="left"/>
      <w:pPr>
        <w:tabs>
          <w:tab w:val="num" w:pos="7594"/>
        </w:tabs>
        <w:ind w:left="7594" w:hanging="360"/>
      </w:pPr>
      <w:rPr>
        <w:rFonts w:ascii="Wingdings" w:hAnsi="Wingdings" w:hint="default"/>
      </w:rPr>
    </w:lvl>
  </w:abstractNum>
  <w:abstractNum w:abstractNumId="4" w15:restartNumberingAfterBreak="0">
    <w:nsid w:val="21F45094"/>
    <w:multiLevelType w:val="hybridMultilevel"/>
    <w:tmpl w:val="E53826AC"/>
    <w:lvl w:ilvl="0" w:tplc="96187DE4">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5D5B67"/>
    <w:multiLevelType w:val="hybridMultilevel"/>
    <w:tmpl w:val="286637F4"/>
    <w:lvl w:ilvl="0" w:tplc="96187DE4">
      <w:start w:val="5"/>
      <w:numFmt w:val="bullet"/>
      <w:lvlText w:val="-"/>
      <w:lvlJc w:val="left"/>
      <w:pPr>
        <w:tabs>
          <w:tab w:val="num" w:pos="1494"/>
        </w:tabs>
        <w:ind w:left="1494" w:hanging="360"/>
      </w:pPr>
      <w:rPr>
        <w:rFonts w:ascii="Times New Roman" w:eastAsia="Times New Roman" w:hAnsi="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2C4F1FDD"/>
    <w:multiLevelType w:val="hybridMultilevel"/>
    <w:tmpl w:val="0CB8412C"/>
    <w:lvl w:ilvl="0" w:tplc="72A82D5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C0FB2"/>
    <w:multiLevelType w:val="hybridMultilevel"/>
    <w:tmpl w:val="ABBE2A58"/>
    <w:lvl w:ilvl="0" w:tplc="FC3E863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EA2E92"/>
    <w:multiLevelType w:val="hybridMultilevel"/>
    <w:tmpl w:val="DC623632"/>
    <w:lvl w:ilvl="0" w:tplc="0DC22F2A">
      <w:start w:val="3"/>
      <w:numFmt w:val="bullet"/>
      <w:lvlText w:val="-"/>
      <w:lvlJc w:val="left"/>
      <w:pPr>
        <w:tabs>
          <w:tab w:val="num" w:pos="1834"/>
        </w:tabs>
        <w:ind w:left="1834" w:hanging="360"/>
      </w:pPr>
      <w:rPr>
        <w:rFonts w:ascii="Times New Roman" w:eastAsia="Times New Roman" w:hAnsi="Times New Roman" w:hint="default"/>
        <w:b w:val="0"/>
      </w:rPr>
    </w:lvl>
    <w:lvl w:ilvl="1" w:tplc="040C0003" w:tentative="1">
      <w:start w:val="1"/>
      <w:numFmt w:val="bullet"/>
      <w:lvlText w:val="o"/>
      <w:lvlJc w:val="left"/>
      <w:pPr>
        <w:tabs>
          <w:tab w:val="num" w:pos="2554"/>
        </w:tabs>
        <w:ind w:left="2554" w:hanging="360"/>
      </w:pPr>
      <w:rPr>
        <w:rFonts w:ascii="Courier New" w:hAnsi="Courier New" w:hint="default"/>
      </w:rPr>
    </w:lvl>
    <w:lvl w:ilvl="2" w:tplc="040C0005" w:tentative="1">
      <w:start w:val="1"/>
      <w:numFmt w:val="bullet"/>
      <w:lvlText w:val=""/>
      <w:lvlJc w:val="left"/>
      <w:pPr>
        <w:tabs>
          <w:tab w:val="num" w:pos="3274"/>
        </w:tabs>
        <w:ind w:left="3274" w:hanging="360"/>
      </w:pPr>
      <w:rPr>
        <w:rFonts w:ascii="Wingdings" w:hAnsi="Wingdings" w:hint="default"/>
      </w:rPr>
    </w:lvl>
    <w:lvl w:ilvl="3" w:tplc="040C0001" w:tentative="1">
      <w:start w:val="1"/>
      <w:numFmt w:val="bullet"/>
      <w:lvlText w:val=""/>
      <w:lvlJc w:val="left"/>
      <w:pPr>
        <w:tabs>
          <w:tab w:val="num" w:pos="3994"/>
        </w:tabs>
        <w:ind w:left="3994" w:hanging="360"/>
      </w:pPr>
      <w:rPr>
        <w:rFonts w:ascii="Symbol" w:hAnsi="Symbol" w:hint="default"/>
      </w:rPr>
    </w:lvl>
    <w:lvl w:ilvl="4" w:tplc="040C0003" w:tentative="1">
      <w:start w:val="1"/>
      <w:numFmt w:val="bullet"/>
      <w:lvlText w:val="o"/>
      <w:lvlJc w:val="left"/>
      <w:pPr>
        <w:tabs>
          <w:tab w:val="num" w:pos="4714"/>
        </w:tabs>
        <w:ind w:left="4714" w:hanging="360"/>
      </w:pPr>
      <w:rPr>
        <w:rFonts w:ascii="Courier New" w:hAnsi="Courier New" w:hint="default"/>
      </w:rPr>
    </w:lvl>
    <w:lvl w:ilvl="5" w:tplc="040C0005" w:tentative="1">
      <w:start w:val="1"/>
      <w:numFmt w:val="bullet"/>
      <w:lvlText w:val=""/>
      <w:lvlJc w:val="left"/>
      <w:pPr>
        <w:tabs>
          <w:tab w:val="num" w:pos="5434"/>
        </w:tabs>
        <w:ind w:left="5434" w:hanging="360"/>
      </w:pPr>
      <w:rPr>
        <w:rFonts w:ascii="Wingdings" w:hAnsi="Wingdings" w:hint="default"/>
      </w:rPr>
    </w:lvl>
    <w:lvl w:ilvl="6" w:tplc="040C0001" w:tentative="1">
      <w:start w:val="1"/>
      <w:numFmt w:val="bullet"/>
      <w:lvlText w:val=""/>
      <w:lvlJc w:val="left"/>
      <w:pPr>
        <w:tabs>
          <w:tab w:val="num" w:pos="6154"/>
        </w:tabs>
        <w:ind w:left="6154" w:hanging="360"/>
      </w:pPr>
      <w:rPr>
        <w:rFonts w:ascii="Symbol" w:hAnsi="Symbol" w:hint="default"/>
      </w:rPr>
    </w:lvl>
    <w:lvl w:ilvl="7" w:tplc="040C0003" w:tentative="1">
      <w:start w:val="1"/>
      <w:numFmt w:val="bullet"/>
      <w:lvlText w:val="o"/>
      <w:lvlJc w:val="left"/>
      <w:pPr>
        <w:tabs>
          <w:tab w:val="num" w:pos="6874"/>
        </w:tabs>
        <w:ind w:left="6874" w:hanging="360"/>
      </w:pPr>
      <w:rPr>
        <w:rFonts w:ascii="Courier New" w:hAnsi="Courier New" w:hint="default"/>
      </w:rPr>
    </w:lvl>
    <w:lvl w:ilvl="8" w:tplc="040C0005" w:tentative="1">
      <w:start w:val="1"/>
      <w:numFmt w:val="bullet"/>
      <w:lvlText w:val=""/>
      <w:lvlJc w:val="left"/>
      <w:pPr>
        <w:tabs>
          <w:tab w:val="num" w:pos="7594"/>
        </w:tabs>
        <w:ind w:left="7594" w:hanging="360"/>
      </w:pPr>
      <w:rPr>
        <w:rFonts w:ascii="Wingdings" w:hAnsi="Wingdings" w:hint="default"/>
      </w:rPr>
    </w:lvl>
  </w:abstractNum>
  <w:abstractNum w:abstractNumId="9" w15:restartNumberingAfterBreak="0">
    <w:nsid w:val="5EBA55A5"/>
    <w:multiLevelType w:val="hybridMultilevel"/>
    <w:tmpl w:val="C5805A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C30C2C"/>
    <w:multiLevelType w:val="hybridMultilevel"/>
    <w:tmpl w:val="6862EE8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94" w:hanging="360"/>
        </w:pPr>
        <w:rPr>
          <w:rFonts w:ascii="Wingdings" w:hAnsi="Wingdings" w:hint="default"/>
          <w:sz w:val="16"/>
        </w:rPr>
      </w:lvl>
    </w:lvlOverride>
  </w:num>
  <w:num w:numId="2">
    <w:abstractNumId w:val="8"/>
  </w:num>
  <w:num w:numId="3">
    <w:abstractNumId w:val="5"/>
  </w:num>
  <w:num w:numId="4">
    <w:abstractNumId w:val="3"/>
  </w:num>
  <w:num w:numId="5">
    <w:abstractNumId w:val="4"/>
  </w:num>
  <w:num w:numId="6">
    <w:abstractNumId w:val="2"/>
  </w:num>
  <w:num w:numId="7">
    <w:abstractNumId w:val="10"/>
  </w:num>
  <w:num w:numId="8">
    <w:abstractNumId w:val="9"/>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318"/>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677591"/>
    <w:rsid w:val="00000C89"/>
    <w:rsid w:val="00000E71"/>
    <w:rsid w:val="00010BD2"/>
    <w:rsid w:val="0003165A"/>
    <w:rsid w:val="00036623"/>
    <w:rsid w:val="00036DFE"/>
    <w:rsid w:val="00043168"/>
    <w:rsid w:val="00064A6D"/>
    <w:rsid w:val="00065840"/>
    <w:rsid w:val="0008206C"/>
    <w:rsid w:val="00083E42"/>
    <w:rsid w:val="00097DB3"/>
    <w:rsid w:val="000C7BC7"/>
    <w:rsid w:val="000D4801"/>
    <w:rsid w:val="000E523A"/>
    <w:rsid w:val="000E7D74"/>
    <w:rsid w:val="000F5F9C"/>
    <w:rsid w:val="00103347"/>
    <w:rsid w:val="00104F27"/>
    <w:rsid w:val="0013378C"/>
    <w:rsid w:val="00136268"/>
    <w:rsid w:val="00143053"/>
    <w:rsid w:val="00144DF5"/>
    <w:rsid w:val="00156206"/>
    <w:rsid w:val="00156804"/>
    <w:rsid w:val="00156EB2"/>
    <w:rsid w:val="00157920"/>
    <w:rsid w:val="00173F32"/>
    <w:rsid w:val="0017556C"/>
    <w:rsid w:val="00182EE9"/>
    <w:rsid w:val="00190A4D"/>
    <w:rsid w:val="0019221B"/>
    <w:rsid w:val="001957C6"/>
    <w:rsid w:val="001A1DDD"/>
    <w:rsid w:val="001A6E6B"/>
    <w:rsid w:val="001B123B"/>
    <w:rsid w:val="001B1785"/>
    <w:rsid w:val="001B4621"/>
    <w:rsid w:val="001C7F5A"/>
    <w:rsid w:val="001E658C"/>
    <w:rsid w:val="001E6DB6"/>
    <w:rsid w:val="001F4B56"/>
    <w:rsid w:val="002068A8"/>
    <w:rsid w:val="00211376"/>
    <w:rsid w:val="00226734"/>
    <w:rsid w:val="00234A17"/>
    <w:rsid w:val="00255D60"/>
    <w:rsid w:val="002747E3"/>
    <w:rsid w:val="00280ADB"/>
    <w:rsid w:val="0028123E"/>
    <w:rsid w:val="00295F59"/>
    <w:rsid w:val="002A24F7"/>
    <w:rsid w:val="002A3E08"/>
    <w:rsid w:val="002B28D7"/>
    <w:rsid w:val="002C6B1A"/>
    <w:rsid w:val="002D1EA5"/>
    <w:rsid w:val="002D22DC"/>
    <w:rsid w:val="002F0BF5"/>
    <w:rsid w:val="002F1FA2"/>
    <w:rsid w:val="002F6E25"/>
    <w:rsid w:val="002F7BDA"/>
    <w:rsid w:val="0030034D"/>
    <w:rsid w:val="00303C09"/>
    <w:rsid w:val="00307B7F"/>
    <w:rsid w:val="00317759"/>
    <w:rsid w:val="0033228B"/>
    <w:rsid w:val="00335F5D"/>
    <w:rsid w:val="003361DA"/>
    <w:rsid w:val="003644DD"/>
    <w:rsid w:val="00380318"/>
    <w:rsid w:val="00384797"/>
    <w:rsid w:val="00396724"/>
    <w:rsid w:val="003A1039"/>
    <w:rsid w:val="003B3FC7"/>
    <w:rsid w:val="003C3A1B"/>
    <w:rsid w:val="003D3278"/>
    <w:rsid w:val="003D348B"/>
    <w:rsid w:val="003D4545"/>
    <w:rsid w:val="003E5062"/>
    <w:rsid w:val="003E621A"/>
    <w:rsid w:val="003F20D8"/>
    <w:rsid w:val="00402779"/>
    <w:rsid w:val="00412361"/>
    <w:rsid w:val="0043323C"/>
    <w:rsid w:val="00441FF1"/>
    <w:rsid w:val="00443D2B"/>
    <w:rsid w:val="00452C8A"/>
    <w:rsid w:val="004641BF"/>
    <w:rsid w:val="00472EF3"/>
    <w:rsid w:val="00481EEA"/>
    <w:rsid w:val="00483F09"/>
    <w:rsid w:val="00485B32"/>
    <w:rsid w:val="004925C0"/>
    <w:rsid w:val="00493B39"/>
    <w:rsid w:val="00495A26"/>
    <w:rsid w:val="004966A9"/>
    <w:rsid w:val="004A0B9D"/>
    <w:rsid w:val="004B08B6"/>
    <w:rsid w:val="004C15B6"/>
    <w:rsid w:val="004C7ABB"/>
    <w:rsid w:val="00510DA4"/>
    <w:rsid w:val="005255F1"/>
    <w:rsid w:val="00535DDD"/>
    <w:rsid w:val="005518CE"/>
    <w:rsid w:val="00557172"/>
    <w:rsid w:val="005631E6"/>
    <w:rsid w:val="005816A0"/>
    <w:rsid w:val="005A5322"/>
    <w:rsid w:val="005A6575"/>
    <w:rsid w:val="005B77D9"/>
    <w:rsid w:val="005D01EB"/>
    <w:rsid w:val="005D1704"/>
    <w:rsid w:val="005E7EE1"/>
    <w:rsid w:val="00607E13"/>
    <w:rsid w:val="006110BC"/>
    <w:rsid w:val="00615E6A"/>
    <w:rsid w:val="00631314"/>
    <w:rsid w:val="00652398"/>
    <w:rsid w:val="006649BF"/>
    <w:rsid w:val="00667B72"/>
    <w:rsid w:val="00675871"/>
    <w:rsid w:val="00677591"/>
    <w:rsid w:val="00692163"/>
    <w:rsid w:val="006A283E"/>
    <w:rsid w:val="006A2AD7"/>
    <w:rsid w:val="006A4518"/>
    <w:rsid w:val="006B3AB1"/>
    <w:rsid w:val="006D793C"/>
    <w:rsid w:val="006F1CBD"/>
    <w:rsid w:val="00701869"/>
    <w:rsid w:val="00702A27"/>
    <w:rsid w:val="0072512C"/>
    <w:rsid w:val="00725431"/>
    <w:rsid w:val="0073254B"/>
    <w:rsid w:val="00735B1E"/>
    <w:rsid w:val="00741F06"/>
    <w:rsid w:val="007428F1"/>
    <w:rsid w:val="00755D89"/>
    <w:rsid w:val="00761151"/>
    <w:rsid w:val="007804FE"/>
    <w:rsid w:val="00785993"/>
    <w:rsid w:val="007863C7"/>
    <w:rsid w:val="00797465"/>
    <w:rsid w:val="007A47A8"/>
    <w:rsid w:val="007B3518"/>
    <w:rsid w:val="007B3DE4"/>
    <w:rsid w:val="007B4F00"/>
    <w:rsid w:val="007D0C26"/>
    <w:rsid w:val="00812B8B"/>
    <w:rsid w:val="0081643B"/>
    <w:rsid w:val="00823C55"/>
    <w:rsid w:val="008344C3"/>
    <w:rsid w:val="008433B5"/>
    <w:rsid w:val="00850165"/>
    <w:rsid w:val="00862687"/>
    <w:rsid w:val="00882B73"/>
    <w:rsid w:val="0088341A"/>
    <w:rsid w:val="00886521"/>
    <w:rsid w:val="008870EA"/>
    <w:rsid w:val="008A3095"/>
    <w:rsid w:val="008A44DD"/>
    <w:rsid w:val="008A7A35"/>
    <w:rsid w:val="008B58E5"/>
    <w:rsid w:val="008B6F8D"/>
    <w:rsid w:val="008C38DF"/>
    <w:rsid w:val="008C3B83"/>
    <w:rsid w:val="008C3BFD"/>
    <w:rsid w:val="008C44E3"/>
    <w:rsid w:val="008C46A2"/>
    <w:rsid w:val="008D1736"/>
    <w:rsid w:val="008E6F0E"/>
    <w:rsid w:val="00917E87"/>
    <w:rsid w:val="00935CDE"/>
    <w:rsid w:val="00967DA2"/>
    <w:rsid w:val="00994DEA"/>
    <w:rsid w:val="009D5E24"/>
    <w:rsid w:val="009D736C"/>
    <w:rsid w:val="00A03640"/>
    <w:rsid w:val="00A036B8"/>
    <w:rsid w:val="00A06900"/>
    <w:rsid w:val="00A11A8D"/>
    <w:rsid w:val="00A12BC9"/>
    <w:rsid w:val="00A13FAC"/>
    <w:rsid w:val="00A26188"/>
    <w:rsid w:val="00A30AC6"/>
    <w:rsid w:val="00A3689B"/>
    <w:rsid w:val="00A36BD9"/>
    <w:rsid w:val="00A40C4E"/>
    <w:rsid w:val="00A44395"/>
    <w:rsid w:val="00A47965"/>
    <w:rsid w:val="00A54158"/>
    <w:rsid w:val="00A615FE"/>
    <w:rsid w:val="00A62C34"/>
    <w:rsid w:val="00A64909"/>
    <w:rsid w:val="00A64D27"/>
    <w:rsid w:val="00A6777C"/>
    <w:rsid w:val="00A71FCD"/>
    <w:rsid w:val="00A73B5F"/>
    <w:rsid w:val="00A86F69"/>
    <w:rsid w:val="00AA4336"/>
    <w:rsid w:val="00AA5364"/>
    <w:rsid w:val="00AA7F06"/>
    <w:rsid w:val="00AB21A3"/>
    <w:rsid w:val="00AB3D1B"/>
    <w:rsid w:val="00AC48F4"/>
    <w:rsid w:val="00AC5E06"/>
    <w:rsid w:val="00AD56F1"/>
    <w:rsid w:val="00AD7BCC"/>
    <w:rsid w:val="00AE74D0"/>
    <w:rsid w:val="00AF02BB"/>
    <w:rsid w:val="00AF192B"/>
    <w:rsid w:val="00B015A2"/>
    <w:rsid w:val="00B036AD"/>
    <w:rsid w:val="00B1182C"/>
    <w:rsid w:val="00B1200C"/>
    <w:rsid w:val="00B12C44"/>
    <w:rsid w:val="00B200BC"/>
    <w:rsid w:val="00B25F7E"/>
    <w:rsid w:val="00B3207B"/>
    <w:rsid w:val="00B32142"/>
    <w:rsid w:val="00B422DC"/>
    <w:rsid w:val="00B43198"/>
    <w:rsid w:val="00B52671"/>
    <w:rsid w:val="00B64430"/>
    <w:rsid w:val="00B70C4A"/>
    <w:rsid w:val="00B75CC5"/>
    <w:rsid w:val="00B85F0E"/>
    <w:rsid w:val="00BA153D"/>
    <w:rsid w:val="00BB7D54"/>
    <w:rsid w:val="00BD0BDC"/>
    <w:rsid w:val="00BE0CB7"/>
    <w:rsid w:val="00BE415E"/>
    <w:rsid w:val="00BF43E5"/>
    <w:rsid w:val="00C119BB"/>
    <w:rsid w:val="00C16236"/>
    <w:rsid w:val="00C26955"/>
    <w:rsid w:val="00C27B11"/>
    <w:rsid w:val="00C27D8F"/>
    <w:rsid w:val="00C465DE"/>
    <w:rsid w:val="00C53DF1"/>
    <w:rsid w:val="00C610C7"/>
    <w:rsid w:val="00C63A66"/>
    <w:rsid w:val="00C661B0"/>
    <w:rsid w:val="00C76B14"/>
    <w:rsid w:val="00C77812"/>
    <w:rsid w:val="00C848FA"/>
    <w:rsid w:val="00CB2C6F"/>
    <w:rsid w:val="00CB643F"/>
    <w:rsid w:val="00CC17A3"/>
    <w:rsid w:val="00CD30ED"/>
    <w:rsid w:val="00CD3FDC"/>
    <w:rsid w:val="00CD5390"/>
    <w:rsid w:val="00CE011C"/>
    <w:rsid w:val="00CE26A1"/>
    <w:rsid w:val="00CF3B2B"/>
    <w:rsid w:val="00CF5639"/>
    <w:rsid w:val="00D149B5"/>
    <w:rsid w:val="00D23345"/>
    <w:rsid w:val="00D2715E"/>
    <w:rsid w:val="00D377BB"/>
    <w:rsid w:val="00D700F5"/>
    <w:rsid w:val="00D71FAF"/>
    <w:rsid w:val="00D7338A"/>
    <w:rsid w:val="00D80E64"/>
    <w:rsid w:val="00D85E42"/>
    <w:rsid w:val="00D8645A"/>
    <w:rsid w:val="00D93229"/>
    <w:rsid w:val="00D96316"/>
    <w:rsid w:val="00DA5EAD"/>
    <w:rsid w:val="00DB040D"/>
    <w:rsid w:val="00DC34EB"/>
    <w:rsid w:val="00DE4BE0"/>
    <w:rsid w:val="00DE59B4"/>
    <w:rsid w:val="00DF138B"/>
    <w:rsid w:val="00DF57BA"/>
    <w:rsid w:val="00E11DEA"/>
    <w:rsid w:val="00E156F9"/>
    <w:rsid w:val="00E21DD1"/>
    <w:rsid w:val="00E44AD1"/>
    <w:rsid w:val="00E46A9F"/>
    <w:rsid w:val="00E5008D"/>
    <w:rsid w:val="00E6054A"/>
    <w:rsid w:val="00E6331D"/>
    <w:rsid w:val="00E647D8"/>
    <w:rsid w:val="00E735A2"/>
    <w:rsid w:val="00E92A5C"/>
    <w:rsid w:val="00EA5C28"/>
    <w:rsid w:val="00EA7A20"/>
    <w:rsid w:val="00ED798F"/>
    <w:rsid w:val="00EE2767"/>
    <w:rsid w:val="00F07F5B"/>
    <w:rsid w:val="00F21B11"/>
    <w:rsid w:val="00F32041"/>
    <w:rsid w:val="00F33E54"/>
    <w:rsid w:val="00F421CC"/>
    <w:rsid w:val="00F478A4"/>
    <w:rsid w:val="00F52FB2"/>
    <w:rsid w:val="00F530F5"/>
    <w:rsid w:val="00F57A73"/>
    <w:rsid w:val="00F64D65"/>
    <w:rsid w:val="00F75119"/>
    <w:rsid w:val="00F84DDE"/>
    <w:rsid w:val="00F8530D"/>
    <w:rsid w:val="00FA13FB"/>
    <w:rsid w:val="00FA2D1A"/>
    <w:rsid w:val="00FB328E"/>
    <w:rsid w:val="00FB5C51"/>
    <w:rsid w:val="00FC6058"/>
    <w:rsid w:val="00FC6758"/>
    <w:rsid w:val="00FC766E"/>
    <w:rsid w:val="00FD6F73"/>
    <w:rsid w:val="00FF1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0212A67-C321-4C6A-A810-13307120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9"/>
    <w:qFormat/>
    <w:pPr>
      <w:keepNext/>
      <w:widowControl w:val="0"/>
      <w:tabs>
        <w:tab w:val="left" w:pos="7371"/>
      </w:tabs>
      <w:autoSpaceDE w:val="0"/>
      <w:autoSpaceDN w:val="0"/>
      <w:adjustRightInd w:val="0"/>
      <w:ind w:left="1134"/>
      <w:outlineLvl w:val="0"/>
    </w:pPr>
    <w:rPr>
      <w:b/>
      <w:bCs/>
    </w:rPr>
  </w:style>
  <w:style w:type="paragraph" w:styleId="Titre2">
    <w:name w:val="heading 2"/>
    <w:basedOn w:val="Normal"/>
    <w:next w:val="Normal"/>
    <w:link w:val="Titre2Car"/>
    <w:uiPriority w:val="99"/>
    <w:qFormat/>
    <w:pPr>
      <w:keepNext/>
      <w:widowControl w:val="0"/>
      <w:autoSpaceDE w:val="0"/>
      <w:autoSpaceDN w:val="0"/>
      <w:adjustRightInd w:val="0"/>
      <w:outlineLvl w:val="1"/>
    </w:pPr>
    <w:rPr>
      <w:b/>
      <w:bCs/>
    </w:rPr>
  </w:style>
  <w:style w:type="paragraph" w:styleId="Titre3">
    <w:name w:val="heading 3"/>
    <w:basedOn w:val="Normal"/>
    <w:next w:val="Normal"/>
    <w:link w:val="Titre3Car"/>
    <w:uiPriority w:val="99"/>
    <w:qFormat/>
    <w:pPr>
      <w:keepNext/>
      <w:widowControl w:val="0"/>
      <w:autoSpaceDE w:val="0"/>
      <w:autoSpaceDN w:val="0"/>
      <w:adjustRightInd w:val="0"/>
      <w:jc w:val="center"/>
      <w:outlineLvl w:val="2"/>
    </w:pPr>
    <w:rPr>
      <w:b/>
      <w:bCs/>
      <w:sz w:val="20"/>
    </w:rPr>
  </w:style>
  <w:style w:type="paragraph" w:styleId="Titre4">
    <w:name w:val="heading 4"/>
    <w:basedOn w:val="Normal"/>
    <w:next w:val="Normal"/>
    <w:link w:val="Titre4Car"/>
    <w:uiPriority w:val="99"/>
    <w:qFormat/>
    <w:pPr>
      <w:keepNext/>
      <w:widowControl w:val="0"/>
      <w:tabs>
        <w:tab w:val="left" w:pos="5580"/>
      </w:tabs>
      <w:autoSpaceDE w:val="0"/>
      <w:autoSpaceDN w:val="0"/>
      <w:adjustRightInd w:val="0"/>
      <w:ind w:left="1134"/>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E0F2B"/>
    <w:rPr>
      <w:rFonts w:ascii="Cambria" w:eastAsia="Times New Roman" w:hAnsi="Cambria" w:cs="Times New Roman"/>
      <w:b/>
      <w:bCs/>
      <w:kern w:val="32"/>
      <w:sz w:val="32"/>
      <w:szCs w:val="32"/>
    </w:rPr>
  </w:style>
  <w:style w:type="character" w:customStyle="1" w:styleId="Titre2Car">
    <w:name w:val="Titre 2 Car"/>
    <w:link w:val="Titre2"/>
    <w:uiPriority w:val="9"/>
    <w:semiHidden/>
    <w:rsid w:val="002E0F2B"/>
    <w:rPr>
      <w:rFonts w:ascii="Cambria" w:eastAsia="Times New Roman" w:hAnsi="Cambria" w:cs="Times New Roman"/>
      <w:b/>
      <w:bCs/>
      <w:i/>
      <w:iCs/>
      <w:sz w:val="28"/>
      <w:szCs w:val="28"/>
    </w:rPr>
  </w:style>
  <w:style w:type="character" w:customStyle="1" w:styleId="Heading3Char">
    <w:name w:val="Heading 3 Char"/>
    <w:uiPriority w:val="9"/>
    <w:semiHidden/>
    <w:rsid w:val="002E0F2B"/>
    <w:rPr>
      <w:rFonts w:ascii="Cambria" w:eastAsia="Times New Roman" w:hAnsi="Cambria" w:cs="Times New Roman"/>
      <w:b/>
      <w:bCs/>
      <w:sz w:val="26"/>
      <w:szCs w:val="26"/>
    </w:rPr>
  </w:style>
  <w:style w:type="character" w:customStyle="1" w:styleId="Titre4Car">
    <w:name w:val="Titre 4 Car"/>
    <w:link w:val="Titre4"/>
    <w:uiPriority w:val="9"/>
    <w:semiHidden/>
    <w:rsid w:val="002E0F2B"/>
    <w:rPr>
      <w:rFonts w:ascii="Calibri" w:eastAsia="Times New Roman" w:hAnsi="Calibri" w:cs="Times New Roman"/>
      <w:b/>
      <w:bCs/>
      <w:sz w:val="28"/>
      <w:szCs w:val="28"/>
    </w:rPr>
  </w:style>
  <w:style w:type="paragraph" w:styleId="Titre">
    <w:name w:val="Title"/>
    <w:basedOn w:val="Normal"/>
    <w:link w:val="TitreCar"/>
    <w:uiPriority w:val="99"/>
    <w:qFormat/>
    <w:pPr>
      <w:widowControl w:val="0"/>
      <w:autoSpaceDE w:val="0"/>
      <w:autoSpaceDN w:val="0"/>
      <w:adjustRightInd w:val="0"/>
      <w:jc w:val="center"/>
    </w:pPr>
    <w:rPr>
      <w:b/>
      <w:bCs/>
      <w:sz w:val="28"/>
      <w:szCs w:val="28"/>
    </w:rPr>
  </w:style>
  <w:style w:type="character" w:customStyle="1" w:styleId="TitleChar">
    <w:name w:val="Title Char"/>
    <w:uiPriority w:val="10"/>
    <w:rsid w:val="002E0F2B"/>
    <w:rPr>
      <w:rFonts w:ascii="Cambria" w:eastAsia="Times New Roman" w:hAnsi="Cambria" w:cs="Times New Roman"/>
      <w:b/>
      <w:bCs/>
      <w:kern w:val="28"/>
      <w:sz w:val="32"/>
      <w:szCs w:val="32"/>
    </w:rPr>
  </w:style>
  <w:style w:type="paragraph" w:styleId="Sous-titre">
    <w:name w:val="Subtitle"/>
    <w:basedOn w:val="Normal"/>
    <w:link w:val="Sous-titreCar"/>
    <w:uiPriority w:val="99"/>
    <w:qFormat/>
    <w:rsid w:val="004925C0"/>
    <w:pPr>
      <w:widowControl w:val="0"/>
      <w:autoSpaceDE w:val="0"/>
      <w:autoSpaceDN w:val="0"/>
      <w:adjustRightInd w:val="0"/>
      <w:jc w:val="center"/>
    </w:pPr>
    <w:rPr>
      <w:rFonts w:ascii="Centaur" w:hAnsi="Centaur"/>
      <w:b/>
      <w:bCs/>
      <w:sz w:val="28"/>
      <w:szCs w:val="28"/>
    </w:rPr>
  </w:style>
  <w:style w:type="character" w:customStyle="1" w:styleId="SubtitleChar">
    <w:name w:val="Subtitle Char"/>
    <w:uiPriority w:val="11"/>
    <w:rsid w:val="002E0F2B"/>
    <w:rPr>
      <w:rFonts w:ascii="Cambria" w:eastAsia="Times New Roman" w:hAnsi="Cambria" w:cs="Times New Roman"/>
      <w:sz w:val="24"/>
      <w:szCs w:val="24"/>
    </w:rPr>
  </w:style>
  <w:style w:type="paragraph" w:styleId="En-tte">
    <w:name w:val="header"/>
    <w:basedOn w:val="Normal"/>
    <w:link w:val="En-tteCar"/>
    <w:uiPriority w:val="99"/>
    <w:rsid w:val="004925C0"/>
    <w:pPr>
      <w:tabs>
        <w:tab w:val="center" w:pos="4536"/>
        <w:tab w:val="right" w:pos="9072"/>
      </w:tabs>
    </w:pPr>
  </w:style>
  <w:style w:type="character" w:customStyle="1" w:styleId="En-tteCar">
    <w:name w:val="En-tête Car"/>
    <w:link w:val="En-tte"/>
    <w:uiPriority w:val="99"/>
    <w:semiHidden/>
    <w:rsid w:val="002E0F2B"/>
    <w:rPr>
      <w:sz w:val="24"/>
      <w:szCs w:val="24"/>
    </w:rPr>
  </w:style>
  <w:style w:type="paragraph" w:styleId="Pieddepage">
    <w:name w:val="footer"/>
    <w:basedOn w:val="Normal"/>
    <w:link w:val="PieddepageCar"/>
    <w:uiPriority w:val="99"/>
    <w:rsid w:val="004925C0"/>
    <w:pPr>
      <w:tabs>
        <w:tab w:val="center" w:pos="4536"/>
        <w:tab w:val="right" w:pos="9072"/>
      </w:tabs>
    </w:pPr>
  </w:style>
  <w:style w:type="character" w:customStyle="1" w:styleId="FooterChar">
    <w:name w:val="Footer Char"/>
    <w:uiPriority w:val="99"/>
    <w:semiHidden/>
    <w:rsid w:val="002E0F2B"/>
    <w:rPr>
      <w:sz w:val="24"/>
      <w:szCs w:val="24"/>
    </w:rPr>
  </w:style>
  <w:style w:type="character" w:styleId="Lienhypertexte">
    <w:name w:val="Hyperlink"/>
    <w:uiPriority w:val="99"/>
    <w:rsid w:val="004925C0"/>
    <w:rPr>
      <w:rFonts w:cs="Times New Roman"/>
      <w:color w:val="0000FF"/>
      <w:u w:val="single"/>
    </w:rPr>
  </w:style>
  <w:style w:type="paragraph" w:customStyle="1" w:styleId="Paragraphedeliste1">
    <w:name w:val="Paragraphe de liste1"/>
    <w:basedOn w:val="Normal"/>
    <w:uiPriority w:val="99"/>
    <w:rsid w:val="00AE74D0"/>
    <w:pPr>
      <w:ind w:left="708"/>
    </w:pPr>
  </w:style>
  <w:style w:type="character" w:customStyle="1" w:styleId="Titre3Car">
    <w:name w:val="Titre 3 Car"/>
    <w:link w:val="Titre3"/>
    <w:uiPriority w:val="99"/>
    <w:locked/>
    <w:rsid w:val="00483F09"/>
    <w:rPr>
      <w:rFonts w:cs="Times New Roman"/>
      <w:b/>
      <w:bCs/>
      <w:sz w:val="24"/>
      <w:szCs w:val="24"/>
    </w:rPr>
  </w:style>
  <w:style w:type="character" w:customStyle="1" w:styleId="TitreCar">
    <w:name w:val="Titre Car"/>
    <w:link w:val="Titre"/>
    <w:uiPriority w:val="99"/>
    <w:locked/>
    <w:rsid w:val="00483F09"/>
    <w:rPr>
      <w:rFonts w:cs="Times New Roman"/>
      <w:b/>
      <w:bCs/>
      <w:sz w:val="28"/>
      <w:szCs w:val="28"/>
    </w:rPr>
  </w:style>
  <w:style w:type="character" w:customStyle="1" w:styleId="Sous-titreCar">
    <w:name w:val="Sous-titre Car"/>
    <w:link w:val="Sous-titre"/>
    <w:uiPriority w:val="99"/>
    <w:locked/>
    <w:rsid w:val="00483F09"/>
    <w:rPr>
      <w:rFonts w:ascii="Centaur" w:hAnsi="Centaur" w:cs="Times New Roman"/>
      <w:b/>
      <w:bCs/>
      <w:sz w:val="28"/>
      <w:szCs w:val="28"/>
    </w:rPr>
  </w:style>
  <w:style w:type="paragraph" w:customStyle="1" w:styleId="Texte">
    <w:name w:val="Texte"/>
    <w:uiPriority w:val="99"/>
    <w:rsid w:val="00A64909"/>
    <w:pPr>
      <w:widowControl w:val="0"/>
    </w:pPr>
    <w:rPr>
      <w:color w:val="000000"/>
      <w:sz w:val="24"/>
      <w:szCs w:val="24"/>
    </w:rPr>
  </w:style>
  <w:style w:type="character" w:customStyle="1" w:styleId="PieddepageCar">
    <w:name w:val="Pied de page Car"/>
    <w:link w:val="Pieddepage"/>
    <w:uiPriority w:val="99"/>
    <w:locked/>
    <w:rsid w:val="00F64D65"/>
    <w:rPr>
      <w:rFonts w:cs="Times New Roman"/>
      <w:sz w:val="24"/>
      <w:szCs w:val="24"/>
    </w:rPr>
  </w:style>
  <w:style w:type="paragraph" w:styleId="Textedebulles">
    <w:name w:val="Balloon Text"/>
    <w:basedOn w:val="Normal"/>
    <w:link w:val="TextedebullesCar"/>
    <w:uiPriority w:val="99"/>
    <w:rsid w:val="00F64D65"/>
    <w:rPr>
      <w:rFonts w:ascii="Tahoma" w:hAnsi="Tahoma" w:cs="Tahoma"/>
      <w:sz w:val="16"/>
      <w:szCs w:val="16"/>
    </w:rPr>
  </w:style>
  <w:style w:type="character" w:customStyle="1" w:styleId="BalloonTextChar">
    <w:name w:val="Balloon Text Char"/>
    <w:uiPriority w:val="99"/>
    <w:semiHidden/>
    <w:rsid w:val="002E0F2B"/>
    <w:rPr>
      <w:sz w:val="0"/>
      <w:szCs w:val="0"/>
    </w:rPr>
  </w:style>
  <w:style w:type="character" w:customStyle="1" w:styleId="TextedebullesCar">
    <w:name w:val="Texte de bulles Car"/>
    <w:link w:val="Textedebulles"/>
    <w:uiPriority w:val="99"/>
    <w:locked/>
    <w:rsid w:val="00F64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8244">
      <w:marLeft w:val="0"/>
      <w:marRight w:val="0"/>
      <w:marTop w:val="0"/>
      <w:marBottom w:val="0"/>
      <w:divBdr>
        <w:top w:val="none" w:sz="0" w:space="0" w:color="auto"/>
        <w:left w:val="none" w:sz="0" w:space="0" w:color="auto"/>
        <w:bottom w:val="none" w:sz="0" w:space="0" w:color="auto"/>
        <w:right w:val="none" w:sz="0" w:space="0" w:color="auto"/>
      </w:divBdr>
    </w:div>
    <w:div w:id="100538245">
      <w:marLeft w:val="0"/>
      <w:marRight w:val="0"/>
      <w:marTop w:val="0"/>
      <w:marBottom w:val="0"/>
      <w:divBdr>
        <w:top w:val="none" w:sz="0" w:space="0" w:color="auto"/>
        <w:left w:val="none" w:sz="0" w:space="0" w:color="auto"/>
        <w:bottom w:val="none" w:sz="0" w:space="0" w:color="auto"/>
        <w:right w:val="none" w:sz="0" w:space="0" w:color="auto"/>
      </w:divBdr>
    </w:div>
    <w:div w:id="2065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1543</Words>
  <Characters>8490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Florence Jacops</cp:lastModifiedBy>
  <cp:revision>27</cp:revision>
  <cp:lastPrinted>2012-07-05T10:29:00Z</cp:lastPrinted>
  <dcterms:created xsi:type="dcterms:W3CDTF">2013-02-06T07:50:00Z</dcterms:created>
  <dcterms:modified xsi:type="dcterms:W3CDTF">2023-03-10T15:30:00Z</dcterms:modified>
</cp:coreProperties>
</file>