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E4" w:rsidRDefault="00316AF4" w:rsidP="009F52E4">
      <w:pPr>
        <w:spacing w:after="0"/>
        <w:jc w:val="center"/>
        <w:rPr>
          <w:b/>
        </w:rPr>
      </w:pPr>
      <w:r>
        <w:rPr>
          <w:b/>
        </w:rPr>
        <w:t>ALEXANDRE</w:t>
      </w:r>
    </w:p>
    <w:p w:rsidR="009F52E4" w:rsidRDefault="00316AF4" w:rsidP="009F52E4">
      <w:pPr>
        <w:spacing w:after="0"/>
        <w:jc w:val="center"/>
        <w:rPr>
          <w:b/>
        </w:rPr>
      </w:pPr>
      <w:r>
        <w:rPr>
          <w:b/>
        </w:rPr>
        <w:t>20 RUE DE GRASSI</w:t>
      </w:r>
    </w:p>
    <w:p w:rsidR="009F52E4" w:rsidRPr="009F52E4" w:rsidRDefault="00316AF4" w:rsidP="009F52E4">
      <w:pPr>
        <w:spacing w:after="0"/>
        <w:jc w:val="center"/>
        <w:rPr>
          <w:b/>
        </w:rPr>
      </w:pPr>
      <w:r>
        <w:rPr>
          <w:b/>
        </w:rPr>
        <w:t>3300</w:t>
      </w:r>
      <w:r w:rsidR="00BC3F7E">
        <w:rPr>
          <w:b/>
        </w:rPr>
        <w:t>0</w:t>
      </w:r>
      <w:r w:rsidR="009F52E4">
        <w:rPr>
          <w:b/>
        </w:rPr>
        <w:t xml:space="preserve"> </w:t>
      </w:r>
      <w:r>
        <w:rPr>
          <w:b/>
        </w:rPr>
        <w:t>BORDEAUX</w:t>
      </w:r>
    </w:p>
    <w:p w:rsidR="009F52E4" w:rsidRDefault="009F52E4" w:rsidP="004470E3">
      <w:pPr>
        <w:spacing w:after="0"/>
        <w:jc w:val="center"/>
        <w:rPr>
          <w:b/>
          <w:u w:val="single"/>
        </w:rPr>
      </w:pPr>
    </w:p>
    <w:p w:rsidR="009F52E4" w:rsidRDefault="009F52E4" w:rsidP="004470E3">
      <w:pPr>
        <w:spacing w:after="0"/>
        <w:jc w:val="center"/>
        <w:rPr>
          <w:b/>
          <w:u w:val="single"/>
        </w:rPr>
      </w:pPr>
    </w:p>
    <w:p w:rsidR="009F52E4" w:rsidRDefault="009F52E4" w:rsidP="004470E3">
      <w:pPr>
        <w:spacing w:after="0"/>
        <w:jc w:val="center"/>
        <w:rPr>
          <w:b/>
          <w:u w:val="single"/>
        </w:rPr>
      </w:pPr>
    </w:p>
    <w:p w:rsidR="00D841B9" w:rsidRDefault="00D841B9" w:rsidP="004470E3">
      <w:pPr>
        <w:spacing w:after="0"/>
        <w:jc w:val="center"/>
        <w:rPr>
          <w:b/>
          <w:u w:val="single"/>
        </w:rPr>
      </w:pPr>
      <w:r w:rsidRPr="00D841B9">
        <w:rPr>
          <w:b/>
          <w:u w:val="single"/>
        </w:rPr>
        <w:t>PROJET DE PLAN DE REDRESSEMENT</w:t>
      </w:r>
    </w:p>
    <w:p w:rsidR="003D36BC" w:rsidRDefault="003D36BC" w:rsidP="006D0EF1">
      <w:pPr>
        <w:spacing w:after="0"/>
        <w:jc w:val="center"/>
        <w:rPr>
          <w:b/>
          <w:u w:val="single"/>
        </w:rPr>
      </w:pPr>
    </w:p>
    <w:p w:rsidR="00D841B9" w:rsidRDefault="008D323E" w:rsidP="006D0EF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SARL </w:t>
      </w:r>
      <w:r w:rsidR="00316AF4">
        <w:rPr>
          <w:b/>
          <w:u w:val="single"/>
        </w:rPr>
        <w:t>ALEXANDRE</w:t>
      </w:r>
    </w:p>
    <w:p w:rsidR="006D0EF1" w:rsidRDefault="006D0EF1" w:rsidP="00BB7A79">
      <w:pPr>
        <w:spacing w:after="0"/>
        <w:jc w:val="both"/>
        <w:rPr>
          <w:u w:val="single"/>
        </w:rPr>
      </w:pPr>
    </w:p>
    <w:p w:rsidR="00D841B9" w:rsidRDefault="00D841B9" w:rsidP="00BB7A79">
      <w:pPr>
        <w:spacing w:after="0"/>
        <w:jc w:val="both"/>
        <w:rPr>
          <w:u w:val="single"/>
        </w:rPr>
      </w:pPr>
      <w:r>
        <w:rPr>
          <w:u w:val="single"/>
        </w:rPr>
        <w:t xml:space="preserve">1°) </w:t>
      </w:r>
      <w:r w:rsidR="00D30D76">
        <w:rPr>
          <w:u w:val="single"/>
        </w:rPr>
        <w:t xml:space="preserve">HISTORIQUE ET </w:t>
      </w:r>
      <w:r>
        <w:rPr>
          <w:u w:val="single"/>
        </w:rPr>
        <w:t>RAPPEL DES DIFFICULTES :</w:t>
      </w:r>
    </w:p>
    <w:p w:rsidR="00911216" w:rsidRDefault="00911216" w:rsidP="00BB7A79">
      <w:pPr>
        <w:spacing w:after="0"/>
        <w:jc w:val="both"/>
        <w:rPr>
          <w:u w:val="single"/>
        </w:rPr>
      </w:pPr>
    </w:p>
    <w:p w:rsidR="00D30D76" w:rsidRPr="008E782C" w:rsidRDefault="00D30D76" w:rsidP="00D30D76">
      <w:pPr>
        <w:tabs>
          <w:tab w:val="left" w:pos="1198"/>
        </w:tabs>
        <w:jc w:val="both"/>
      </w:pPr>
      <w:r w:rsidRPr="008E782C">
        <w:t xml:space="preserve">La Société </w:t>
      </w:r>
      <w:r w:rsidR="00316AF4">
        <w:t>ALEXANDRE a été créée le 24</w:t>
      </w:r>
      <w:r w:rsidRPr="008E782C">
        <w:t xml:space="preserve"> </w:t>
      </w:r>
      <w:r w:rsidR="00316AF4">
        <w:t>avril</w:t>
      </w:r>
      <w:r w:rsidR="00BC3F7E">
        <w:t xml:space="preserve"> </w:t>
      </w:r>
      <w:r w:rsidR="00316AF4">
        <w:t xml:space="preserve">1997 et s’occupe de la gestion administrative, comptable et commerciale de plusieurs sociétés exploitants un </w:t>
      </w:r>
      <w:r w:rsidRPr="008E782C">
        <w:t xml:space="preserve">salon de coiffure </w:t>
      </w:r>
      <w:r w:rsidR="00316AF4">
        <w:t>sous l’enseigne FRANCK PROVOST</w:t>
      </w:r>
      <w:r w:rsidRPr="008E782C">
        <w:t>.</w:t>
      </w:r>
    </w:p>
    <w:p w:rsidR="00D30D76" w:rsidRPr="008E782C" w:rsidRDefault="00BC3F7E" w:rsidP="00D30D76">
      <w:pPr>
        <w:tabs>
          <w:tab w:val="left" w:pos="1198"/>
        </w:tabs>
        <w:jc w:val="both"/>
      </w:pPr>
      <w:r>
        <w:t xml:space="preserve">Elle emploie </w:t>
      </w:r>
      <w:r w:rsidR="00316AF4">
        <w:t>actuellement 1</w:t>
      </w:r>
      <w:r w:rsidR="00D30D76" w:rsidRPr="008E782C">
        <w:t xml:space="preserve"> salarié.</w:t>
      </w:r>
    </w:p>
    <w:p w:rsidR="00D30D76" w:rsidRPr="00D14C91" w:rsidRDefault="00D14C91" w:rsidP="00D30D76">
      <w:pPr>
        <w:tabs>
          <w:tab w:val="left" w:pos="1198"/>
        </w:tabs>
        <w:jc w:val="both"/>
      </w:pPr>
      <w:r w:rsidRPr="00D14C91">
        <w:t>La suppression des autorisations de découvert des banques Crédit Agricole et Société Générale a eu pour effet de provoquer la cessation des paiements de la SARL AKCE.</w:t>
      </w:r>
    </w:p>
    <w:p w:rsidR="00D30D76" w:rsidRPr="00D14C91" w:rsidRDefault="00D30D76" w:rsidP="00D30D76">
      <w:pPr>
        <w:tabs>
          <w:tab w:val="left" w:pos="1198"/>
        </w:tabs>
        <w:jc w:val="both"/>
      </w:pPr>
      <w:r w:rsidRPr="00D14C91">
        <w:t>Cette situation a fortement impacté l’activité de la Société.</w:t>
      </w:r>
    </w:p>
    <w:p w:rsidR="00D30D76" w:rsidRPr="008E782C" w:rsidRDefault="00D30D76" w:rsidP="00D30D76">
      <w:pPr>
        <w:jc w:val="both"/>
      </w:pPr>
      <w:r w:rsidRPr="008E782C">
        <w:t>A la date d’ouverture du redressement judiciaire, le passif de la Société s’</w:t>
      </w:r>
      <w:r w:rsidR="008E782C" w:rsidRPr="008E782C">
        <w:t>élevait</w:t>
      </w:r>
      <w:r w:rsidR="00316AF4">
        <w:t xml:space="preserve"> à 314 681</w:t>
      </w:r>
      <w:r w:rsidRPr="008E782C">
        <w:t xml:space="preserve"> €, dont </w:t>
      </w:r>
      <w:r w:rsidR="00316AF4">
        <w:t>203 889 € de dettes  correspondant à une créance avec une filiale</w:t>
      </w:r>
      <w:r w:rsidRPr="008E782C">
        <w:t>.</w:t>
      </w:r>
    </w:p>
    <w:p w:rsidR="00D30D76" w:rsidRDefault="00D30D76" w:rsidP="00BB7A79">
      <w:pPr>
        <w:spacing w:after="0"/>
        <w:jc w:val="both"/>
      </w:pPr>
    </w:p>
    <w:p w:rsidR="00D841B9" w:rsidRDefault="00D841B9" w:rsidP="00BB7A79">
      <w:pPr>
        <w:spacing w:after="0"/>
        <w:jc w:val="both"/>
        <w:rPr>
          <w:u w:val="single"/>
        </w:rPr>
      </w:pPr>
      <w:r>
        <w:rPr>
          <w:u w:val="single"/>
        </w:rPr>
        <w:t>2°) MESURES PRISES DURANT LE REDRESSEMENT JUDICIAIRE :</w:t>
      </w:r>
    </w:p>
    <w:p w:rsidR="002F5BBC" w:rsidRDefault="002F5BBC" w:rsidP="002F5BBC">
      <w:pPr>
        <w:spacing w:after="0"/>
        <w:jc w:val="both"/>
      </w:pPr>
    </w:p>
    <w:p w:rsidR="002F5BBC" w:rsidRDefault="002F5BBC" w:rsidP="002F5BBC">
      <w:pPr>
        <w:spacing w:after="0"/>
        <w:jc w:val="both"/>
      </w:pPr>
      <w:r w:rsidRPr="003F585E">
        <w:t>Depuis l'</w:t>
      </w:r>
      <w:r w:rsidR="00D30D76" w:rsidRPr="003F585E">
        <w:t>ouverture</w:t>
      </w:r>
      <w:r w:rsidRPr="003F585E">
        <w:t xml:space="preserve"> du redressement judiciaire, plusieurs évènements ont eu lieu :</w:t>
      </w:r>
    </w:p>
    <w:p w:rsidR="003F585E" w:rsidRDefault="00316AF4" w:rsidP="003F585E">
      <w:pPr>
        <w:pStyle w:val="Paragraphedeliste"/>
        <w:numPr>
          <w:ilvl w:val="0"/>
          <w:numId w:val="10"/>
        </w:numPr>
        <w:spacing w:after="0"/>
        <w:jc w:val="both"/>
      </w:pPr>
      <w:r>
        <w:t>Réduction du temps de travail de la salariée</w:t>
      </w:r>
    </w:p>
    <w:p w:rsidR="00316AF4" w:rsidRDefault="00316AF4" w:rsidP="00316AF4">
      <w:pPr>
        <w:pStyle w:val="Paragraphedeliste"/>
        <w:numPr>
          <w:ilvl w:val="0"/>
          <w:numId w:val="10"/>
        </w:numPr>
        <w:spacing w:after="0"/>
        <w:jc w:val="both"/>
      </w:pPr>
      <w:r>
        <w:t>Arrêt de la rémunération du gérant (retraité)</w:t>
      </w:r>
    </w:p>
    <w:p w:rsidR="003F585E" w:rsidRDefault="00316AF4" w:rsidP="003F585E">
      <w:pPr>
        <w:pStyle w:val="Paragraphedeliste"/>
        <w:numPr>
          <w:ilvl w:val="0"/>
          <w:numId w:val="10"/>
        </w:numPr>
        <w:spacing w:after="0"/>
        <w:jc w:val="both"/>
      </w:pPr>
      <w:r>
        <w:t>Augmentation de la redevance des différentes sociétés du groupe</w:t>
      </w:r>
    </w:p>
    <w:p w:rsidR="003F585E" w:rsidRDefault="003F585E" w:rsidP="00316AF4">
      <w:pPr>
        <w:pStyle w:val="Paragraphedeliste"/>
        <w:spacing w:after="0"/>
        <w:jc w:val="both"/>
      </w:pPr>
    </w:p>
    <w:p w:rsidR="00AE0F77" w:rsidRDefault="00AE0F77" w:rsidP="002F5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0F77" w:rsidRDefault="00AE0F77" w:rsidP="002F5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5BBC" w:rsidRDefault="002F5BBC" w:rsidP="002F5BBC">
      <w:pPr>
        <w:spacing w:after="0"/>
        <w:jc w:val="both"/>
      </w:pPr>
    </w:p>
    <w:p w:rsidR="006D0EF1" w:rsidRDefault="006D0EF1" w:rsidP="00BB7A79">
      <w:pPr>
        <w:spacing w:after="0"/>
        <w:jc w:val="both"/>
        <w:rPr>
          <w:u w:val="single"/>
        </w:rPr>
      </w:pPr>
    </w:p>
    <w:p w:rsidR="00D841B9" w:rsidRDefault="00D841B9" w:rsidP="00BB7A79">
      <w:pPr>
        <w:spacing w:after="0"/>
        <w:jc w:val="both"/>
        <w:rPr>
          <w:u w:val="single"/>
        </w:rPr>
      </w:pPr>
      <w:r>
        <w:rPr>
          <w:u w:val="single"/>
        </w:rPr>
        <w:t>3°) RESULTATS COMPTABLES DE LA PÉRIODE D’OBSERVATION :</w:t>
      </w:r>
    </w:p>
    <w:p w:rsidR="00787B52" w:rsidRDefault="00787B52" w:rsidP="006D0EF1">
      <w:pPr>
        <w:spacing w:after="0"/>
        <w:rPr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841"/>
        <w:gridCol w:w="2266"/>
      </w:tblGrid>
      <w:tr w:rsidR="00873765" w:rsidTr="00873765">
        <w:trPr>
          <w:jc w:val="center"/>
        </w:trPr>
        <w:tc>
          <w:tcPr>
            <w:tcW w:w="2689" w:type="dxa"/>
            <w:vAlign w:val="center"/>
          </w:tcPr>
          <w:p w:rsidR="00873765" w:rsidRPr="00787B52" w:rsidRDefault="00873765" w:rsidP="00454654">
            <w:pPr>
              <w:jc w:val="center"/>
            </w:pPr>
            <w:r w:rsidRPr="00787B52">
              <w:t>Période</w:t>
            </w:r>
          </w:p>
        </w:tc>
        <w:tc>
          <w:tcPr>
            <w:tcW w:w="1841" w:type="dxa"/>
            <w:vAlign w:val="center"/>
          </w:tcPr>
          <w:p w:rsidR="00873765" w:rsidRPr="00787B52" w:rsidRDefault="00873765" w:rsidP="00454654">
            <w:pPr>
              <w:jc w:val="center"/>
            </w:pPr>
            <w:r w:rsidRPr="00787B52">
              <w:t>C.A.</w:t>
            </w:r>
          </w:p>
        </w:tc>
        <w:tc>
          <w:tcPr>
            <w:tcW w:w="2266" w:type="dxa"/>
            <w:vAlign w:val="center"/>
          </w:tcPr>
          <w:p w:rsidR="00873765" w:rsidRPr="00787B52" w:rsidRDefault="00873765" w:rsidP="00454654">
            <w:pPr>
              <w:jc w:val="center"/>
            </w:pPr>
            <w:r w:rsidRPr="00787B52">
              <w:t>Résultat</w:t>
            </w:r>
            <w:r w:rsidR="00316AF4">
              <w:t xml:space="preserve"> d’exploitation</w:t>
            </w:r>
          </w:p>
        </w:tc>
      </w:tr>
      <w:tr w:rsidR="00873765" w:rsidTr="00873765">
        <w:trPr>
          <w:jc w:val="center"/>
        </w:trPr>
        <w:tc>
          <w:tcPr>
            <w:tcW w:w="2689" w:type="dxa"/>
            <w:vAlign w:val="center"/>
          </w:tcPr>
          <w:p w:rsidR="00873765" w:rsidRPr="00787B52" w:rsidRDefault="002C39B3" w:rsidP="00454654">
            <w:pPr>
              <w:jc w:val="center"/>
            </w:pPr>
            <w:r>
              <w:t>01</w:t>
            </w:r>
            <w:r w:rsidR="006F4111">
              <w:t>/0</w:t>
            </w:r>
            <w:r>
              <w:t>1</w:t>
            </w:r>
            <w:r w:rsidR="00AE0F77">
              <w:t>/2021 au 31/12</w:t>
            </w:r>
            <w:r w:rsidR="006F4111">
              <w:t>/2021</w:t>
            </w:r>
          </w:p>
        </w:tc>
        <w:tc>
          <w:tcPr>
            <w:tcW w:w="1841" w:type="dxa"/>
            <w:vAlign w:val="center"/>
          </w:tcPr>
          <w:p w:rsidR="00873765" w:rsidRPr="00787B52" w:rsidRDefault="00494F58" w:rsidP="00353DA9">
            <w:pPr>
              <w:jc w:val="center"/>
            </w:pPr>
            <w:r>
              <w:t>77 407</w:t>
            </w:r>
            <w:r w:rsidR="001157F3">
              <w:t xml:space="preserve"> €</w:t>
            </w:r>
          </w:p>
        </w:tc>
        <w:tc>
          <w:tcPr>
            <w:tcW w:w="2266" w:type="dxa"/>
            <w:vAlign w:val="center"/>
          </w:tcPr>
          <w:p w:rsidR="00873765" w:rsidRPr="00787B52" w:rsidRDefault="00494F58" w:rsidP="00353DA9">
            <w:pPr>
              <w:jc w:val="center"/>
            </w:pPr>
            <w:r>
              <w:t>7 519</w:t>
            </w:r>
            <w:r w:rsidR="001157F3">
              <w:t xml:space="preserve"> €</w:t>
            </w:r>
          </w:p>
        </w:tc>
      </w:tr>
    </w:tbl>
    <w:p w:rsidR="00787B52" w:rsidRDefault="00787B52" w:rsidP="006D0EF1">
      <w:pPr>
        <w:spacing w:after="0"/>
        <w:rPr>
          <w:u w:val="single"/>
        </w:rPr>
      </w:pPr>
    </w:p>
    <w:p w:rsidR="003D36BC" w:rsidRPr="003D36BC" w:rsidRDefault="003D36BC" w:rsidP="006D0EF1">
      <w:pPr>
        <w:spacing w:after="0"/>
        <w:rPr>
          <w:b/>
          <w:u w:val="single"/>
        </w:rPr>
      </w:pPr>
      <w:r w:rsidRPr="003D36BC">
        <w:rPr>
          <w:b/>
          <w:u w:val="single"/>
        </w:rPr>
        <w:t>Renvoi annexe 1</w:t>
      </w:r>
      <w:r w:rsidR="009822BE">
        <w:rPr>
          <w:b/>
          <w:u w:val="single"/>
        </w:rPr>
        <w:t xml:space="preserve"> </w:t>
      </w:r>
    </w:p>
    <w:p w:rsidR="006D0EF1" w:rsidRDefault="006D0EF1" w:rsidP="00BB7A79">
      <w:pPr>
        <w:spacing w:after="0"/>
        <w:jc w:val="both"/>
        <w:rPr>
          <w:u w:val="single"/>
        </w:rPr>
      </w:pPr>
    </w:p>
    <w:p w:rsidR="000F409A" w:rsidRDefault="000F409A" w:rsidP="00BB7A79">
      <w:pPr>
        <w:spacing w:after="0"/>
        <w:jc w:val="both"/>
        <w:rPr>
          <w:u w:val="single"/>
        </w:rPr>
      </w:pPr>
    </w:p>
    <w:p w:rsidR="000F409A" w:rsidRDefault="000F409A" w:rsidP="00BB7A79">
      <w:pPr>
        <w:spacing w:after="0"/>
        <w:jc w:val="both"/>
        <w:rPr>
          <w:u w:val="single"/>
        </w:rPr>
      </w:pPr>
    </w:p>
    <w:p w:rsidR="00D841B9" w:rsidRDefault="00D841B9" w:rsidP="00BB7A79">
      <w:pPr>
        <w:spacing w:after="0"/>
        <w:jc w:val="both"/>
        <w:rPr>
          <w:u w:val="single"/>
        </w:rPr>
      </w:pPr>
      <w:r>
        <w:rPr>
          <w:u w:val="single"/>
        </w:rPr>
        <w:t>4°) PREVISIONS D’ACTIVITÉ :</w:t>
      </w:r>
    </w:p>
    <w:p w:rsidR="006D0EF1" w:rsidRDefault="006D0EF1" w:rsidP="00BB7A79">
      <w:pPr>
        <w:spacing w:after="0"/>
        <w:jc w:val="both"/>
        <w:rPr>
          <w:u w:val="single"/>
        </w:rPr>
      </w:pPr>
    </w:p>
    <w:p w:rsidR="00911216" w:rsidRDefault="00811D2E" w:rsidP="00BB7A79">
      <w:pPr>
        <w:spacing w:after="0"/>
        <w:jc w:val="both"/>
      </w:pPr>
      <w:r>
        <w:t xml:space="preserve">Une meilleure </w:t>
      </w:r>
      <w:r w:rsidR="003F585E">
        <w:t>gestion de la trésorerie</w:t>
      </w:r>
      <w:r>
        <w:t xml:space="preserve"> </w:t>
      </w:r>
      <w:r w:rsidR="00B80DA6">
        <w:t>permet</w:t>
      </w:r>
      <w:r>
        <w:t xml:space="preserve"> d’envisager un avenir profitable.</w:t>
      </w:r>
    </w:p>
    <w:p w:rsidR="00BD685E" w:rsidRPr="00911216" w:rsidRDefault="00BD685E" w:rsidP="00BB7A79">
      <w:pPr>
        <w:spacing w:after="0"/>
        <w:jc w:val="both"/>
      </w:pPr>
    </w:p>
    <w:p w:rsidR="00BD685E" w:rsidRPr="003D36BC" w:rsidRDefault="00BD685E" w:rsidP="00BD685E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 xml:space="preserve">Renvoi annexe 3 : prévisionnel d’activité sur 3 exercices </w:t>
      </w:r>
    </w:p>
    <w:p w:rsidR="00911216" w:rsidRDefault="00911216" w:rsidP="00BB7A79">
      <w:pPr>
        <w:spacing w:after="0"/>
        <w:jc w:val="both"/>
        <w:rPr>
          <w:u w:val="single"/>
        </w:rPr>
      </w:pPr>
    </w:p>
    <w:p w:rsidR="00D841B9" w:rsidRDefault="00D841B9" w:rsidP="00BB7A79">
      <w:pPr>
        <w:spacing w:after="0"/>
        <w:jc w:val="both"/>
        <w:rPr>
          <w:u w:val="single"/>
        </w:rPr>
      </w:pPr>
      <w:r>
        <w:rPr>
          <w:u w:val="single"/>
        </w:rPr>
        <w:t>5°) TRÉSORERIE</w:t>
      </w:r>
    </w:p>
    <w:p w:rsidR="006D0EF1" w:rsidRDefault="006D0EF1" w:rsidP="00BB7A79">
      <w:pPr>
        <w:spacing w:after="0"/>
        <w:jc w:val="both"/>
        <w:rPr>
          <w:u w:val="single"/>
        </w:rPr>
      </w:pPr>
    </w:p>
    <w:p w:rsidR="00911216" w:rsidRDefault="00020391" w:rsidP="00BB7A79">
      <w:pPr>
        <w:spacing w:after="0"/>
        <w:jc w:val="both"/>
      </w:pPr>
      <w:r w:rsidRPr="00811D2E">
        <w:t>La trésorerie est positive et saine. Les fournisseurs ne présentent pas de retard de règlements.</w:t>
      </w:r>
      <w:r w:rsidR="00C1231E" w:rsidRPr="00811D2E">
        <w:t xml:space="preserve"> Le prévisionnel met en évidence une capacité d’autofinancement </w:t>
      </w:r>
      <w:r w:rsidR="00811D2E">
        <w:t>positive permettant le respect du plan d’apurement du passif</w:t>
      </w:r>
      <w:r w:rsidR="00C1231E" w:rsidRPr="00811D2E">
        <w:t>.</w:t>
      </w:r>
    </w:p>
    <w:p w:rsidR="00BD685E" w:rsidRDefault="00BD685E" w:rsidP="00BB7A79">
      <w:pPr>
        <w:spacing w:after="0"/>
        <w:jc w:val="both"/>
      </w:pPr>
    </w:p>
    <w:p w:rsidR="001157F3" w:rsidRDefault="001157F3" w:rsidP="00BB7A79">
      <w:pPr>
        <w:spacing w:after="0"/>
        <w:jc w:val="both"/>
      </w:pPr>
    </w:p>
    <w:p w:rsidR="001157F3" w:rsidRDefault="001157F3" w:rsidP="00BB7A79">
      <w:pPr>
        <w:spacing w:after="0"/>
        <w:jc w:val="both"/>
      </w:pPr>
    </w:p>
    <w:p w:rsidR="00BD685E" w:rsidRPr="00BD685E" w:rsidRDefault="00BD685E" w:rsidP="00BD685E">
      <w:pPr>
        <w:spacing w:after="0"/>
        <w:rPr>
          <w:b/>
          <w:u w:val="single"/>
        </w:rPr>
      </w:pPr>
      <w:r>
        <w:rPr>
          <w:b/>
          <w:u w:val="single"/>
        </w:rPr>
        <w:t>Renvoi annexe 4</w:t>
      </w:r>
    </w:p>
    <w:p w:rsidR="00911216" w:rsidRDefault="00911216" w:rsidP="00BB7A79">
      <w:pPr>
        <w:spacing w:after="0"/>
        <w:jc w:val="both"/>
        <w:rPr>
          <w:u w:val="single"/>
        </w:rPr>
      </w:pPr>
    </w:p>
    <w:p w:rsidR="00D841B9" w:rsidRDefault="00D841B9" w:rsidP="00BB7A79">
      <w:pPr>
        <w:spacing w:after="0"/>
        <w:jc w:val="both"/>
        <w:rPr>
          <w:u w:val="single"/>
        </w:rPr>
      </w:pPr>
      <w:r>
        <w:rPr>
          <w:u w:val="single"/>
        </w:rPr>
        <w:t>6°) SITUATION ACTIVE ET PASSIVE</w:t>
      </w:r>
      <w:r w:rsidR="00104684">
        <w:rPr>
          <w:u w:val="single"/>
        </w:rPr>
        <w:t xml:space="preserve"> (à la date du </w:t>
      </w:r>
      <w:r w:rsidR="00650320">
        <w:rPr>
          <w:u w:val="single"/>
        </w:rPr>
        <w:t xml:space="preserve">jugement d’ouverture du </w:t>
      </w:r>
      <w:r w:rsidR="00104684">
        <w:rPr>
          <w:u w:val="single"/>
        </w:rPr>
        <w:t>redressement</w:t>
      </w:r>
      <w:r w:rsidR="00650320">
        <w:rPr>
          <w:u w:val="single"/>
        </w:rPr>
        <w:t xml:space="preserve"> judiciaire</w:t>
      </w:r>
      <w:r w:rsidR="00104684">
        <w:rPr>
          <w:u w:val="single"/>
        </w:rPr>
        <w:t>)</w:t>
      </w:r>
      <w:r>
        <w:rPr>
          <w:u w:val="single"/>
        </w:rPr>
        <w:t> :</w:t>
      </w:r>
    </w:p>
    <w:p w:rsidR="006D0EF1" w:rsidRDefault="006D0EF1" w:rsidP="00BB7A79">
      <w:pPr>
        <w:spacing w:after="0"/>
        <w:jc w:val="both"/>
        <w:rPr>
          <w:u w:val="single"/>
        </w:rPr>
      </w:pPr>
    </w:p>
    <w:p w:rsidR="006D0EF1" w:rsidRDefault="006D0EF1" w:rsidP="00BB7A79">
      <w:pPr>
        <w:spacing w:after="0"/>
        <w:jc w:val="both"/>
        <w:rPr>
          <w:u w:val="single"/>
        </w:rPr>
      </w:pPr>
      <w:r w:rsidRPr="006D0EF1">
        <w:tab/>
      </w:r>
      <w:r>
        <w:rPr>
          <w:u w:val="single"/>
        </w:rPr>
        <w:t>ACTIF :</w:t>
      </w:r>
    </w:p>
    <w:p w:rsidR="003433BE" w:rsidRDefault="003433BE" w:rsidP="00BB7A79">
      <w:pPr>
        <w:spacing w:after="0"/>
        <w:jc w:val="both"/>
        <w:rPr>
          <w:u w:val="single"/>
        </w:rPr>
      </w:pPr>
    </w:p>
    <w:p w:rsidR="00B0145A" w:rsidRPr="003F585E" w:rsidRDefault="00811D2E" w:rsidP="00BB7A79">
      <w:pPr>
        <w:pStyle w:val="Paragraphedeliste"/>
        <w:numPr>
          <w:ilvl w:val="0"/>
          <w:numId w:val="1"/>
        </w:numPr>
        <w:spacing w:after="0"/>
        <w:jc w:val="both"/>
      </w:pPr>
      <w:r w:rsidRPr="003F585E">
        <w:t>Mobilier</w:t>
      </w:r>
      <w:r w:rsidR="00513C04">
        <w:t> : 1</w:t>
      </w:r>
      <w:r w:rsidR="003F585E" w:rsidRPr="003F585E">
        <w:t xml:space="preserve"> 000</w:t>
      </w:r>
      <w:r w:rsidR="00B0145A" w:rsidRPr="003F585E">
        <w:t xml:space="preserve"> €</w:t>
      </w:r>
    </w:p>
    <w:p w:rsidR="006D0EF1" w:rsidRDefault="006D0EF1" w:rsidP="00BB7A79">
      <w:pPr>
        <w:spacing w:after="0"/>
        <w:jc w:val="both"/>
        <w:rPr>
          <w:u w:val="single"/>
        </w:rPr>
      </w:pPr>
    </w:p>
    <w:p w:rsidR="004470E3" w:rsidRDefault="004470E3" w:rsidP="00BB7A79">
      <w:pPr>
        <w:spacing w:after="0"/>
        <w:jc w:val="both"/>
        <w:rPr>
          <w:u w:val="single"/>
        </w:rPr>
      </w:pPr>
    </w:p>
    <w:p w:rsidR="006A105C" w:rsidRDefault="003433BE" w:rsidP="00925E7B">
      <w:pPr>
        <w:spacing w:after="0"/>
        <w:ind w:firstLine="708"/>
      </w:pPr>
      <w:r>
        <w:rPr>
          <w:u w:val="single"/>
        </w:rPr>
        <w:t>PASSIF :</w:t>
      </w:r>
      <w:r w:rsidR="006A105C" w:rsidRPr="006A105C">
        <w:t xml:space="preserve"> </w:t>
      </w:r>
    </w:p>
    <w:p w:rsidR="006A105C" w:rsidRDefault="006A105C" w:rsidP="006A105C">
      <w:pPr>
        <w:spacing w:after="0"/>
      </w:pPr>
    </w:p>
    <w:p w:rsidR="00EC7845" w:rsidRPr="006A1704" w:rsidRDefault="00EC7845" w:rsidP="00EC7845">
      <w:pPr>
        <w:pStyle w:val="Paragraphedeliste"/>
        <w:numPr>
          <w:ilvl w:val="0"/>
          <w:numId w:val="1"/>
        </w:numPr>
        <w:spacing w:after="0"/>
      </w:pPr>
      <w:r w:rsidRPr="006A1704">
        <w:t xml:space="preserve">Voir état : </w:t>
      </w:r>
      <w:r w:rsidR="00513C04">
        <w:t>314 681</w:t>
      </w:r>
      <w:r w:rsidRPr="006A1704">
        <w:t xml:space="preserve"> €</w:t>
      </w:r>
    </w:p>
    <w:p w:rsidR="00B0145A" w:rsidRDefault="006A105C" w:rsidP="006A105C">
      <w:pPr>
        <w:spacing w:after="0"/>
      </w:pPr>
      <w:r>
        <w:t xml:space="preserve"> </w:t>
      </w:r>
    </w:p>
    <w:p w:rsidR="006A105C" w:rsidRPr="00BD685E" w:rsidRDefault="006A105C" w:rsidP="006A105C">
      <w:pPr>
        <w:spacing w:after="0"/>
        <w:rPr>
          <w:b/>
          <w:u w:val="single"/>
        </w:rPr>
      </w:pPr>
      <w:r>
        <w:rPr>
          <w:b/>
          <w:u w:val="single"/>
        </w:rPr>
        <w:t>Renvoi annexe 5 : état du passif en cours de vérification ci-joint</w:t>
      </w:r>
    </w:p>
    <w:p w:rsidR="003433BE" w:rsidRDefault="003433BE" w:rsidP="00BB7A79">
      <w:pPr>
        <w:spacing w:after="0"/>
        <w:ind w:firstLine="708"/>
        <w:jc w:val="both"/>
        <w:rPr>
          <w:u w:val="single"/>
        </w:rPr>
      </w:pPr>
    </w:p>
    <w:p w:rsidR="003433BE" w:rsidRPr="006A105C" w:rsidRDefault="006A105C" w:rsidP="00BD685E">
      <w:pPr>
        <w:pStyle w:val="Paragraphedeliste"/>
        <w:numPr>
          <w:ilvl w:val="0"/>
          <w:numId w:val="2"/>
        </w:numPr>
        <w:spacing w:after="0"/>
        <w:jc w:val="both"/>
      </w:pPr>
      <w:r>
        <w:t>ECHU :</w:t>
      </w:r>
    </w:p>
    <w:p w:rsidR="003433BE" w:rsidRDefault="003433BE" w:rsidP="00BB7A79">
      <w:pPr>
        <w:pStyle w:val="Paragraphedeliste"/>
        <w:numPr>
          <w:ilvl w:val="0"/>
          <w:numId w:val="1"/>
        </w:numPr>
        <w:spacing w:after="0"/>
        <w:jc w:val="both"/>
      </w:pPr>
      <w:r>
        <w:t>Super privilégiés</w:t>
      </w:r>
      <w:r w:rsidRPr="003433BE">
        <w:t> :</w:t>
      </w:r>
      <w:r w:rsidR="00141BC7">
        <w:t xml:space="preserve"> 0 </w:t>
      </w:r>
    </w:p>
    <w:p w:rsidR="003433BE" w:rsidRDefault="00141BC7" w:rsidP="00BB7A79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Privilégiés : </w:t>
      </w:r>
      <w:r w:rsidR="00513C04">
        <w:t>5 079</w:t>
      </w:r>
      <w:r w:rsidR="00EC7845">
        <w:t xml:space="preserve"> €</w:t>
      </w:r>
      <w:r>
        <w:t xml:space="preserve"> </w:t>
      </w:r>
    </w:p>
    <w:p w:rsidR="00EC7845" w:rsidRDefault="00141BC7" w:rsidP="00BB7A79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Chirographaires : </w:t>
      </w:r>
      <w:r w:rsidR="00513C04">
        <w:t>82 652</w:t>
      </w:r>
      <w:r w:rsidR="00EC7845">
        <w:t xml:space="preserve"> €</w:t>
      </w:r>
    </w:p>
    <w:p w:rsidR="000F409A" w:rsidRDefault="008E782C" w:rsidP="00BB7A79">
      <w:pPr>
        <w:pStyle w:val="Paragraphedeliste"/>
        <w:numPr>
          <w:ilvl w:val="0"/>
          <w:numId w:val="1"/>
        </w:numPr>
        <w:spacing w:after="0"/>
        <w:jc w:val="both"/>
        <w:rPr>
          <w:u w:val="single"/>
        </w:rPr>
      </w:pPr>
      <w:r>
        <w:rPr>
          <w:u w:val="single"/>
        </w:rPr>
        <w:t xml:space="preserve">Soit un total échu de </w:t>
      </w:r>
      <w:r w:rsidR="00513C04">
        <w:rPr>
          <w:u w:val="single"/>
        </w:rPr>
        <w:t>87 731</w:t>
      </w:r>
      <w:r w:rsidR="000F409A" w:rsidRPr="000F409A">
        <w:rPr>
          <w:u w:val="single"/>
        </w:rPr>
        <w:t xml:space="preserve"> € </w:t>
      </w:r>
    </w:p>
    <w:p w:rsidR="003F585E" w:rsidRPr="000F409A" w:rsidRDefault="003F585E" w:rsidP="003F585E">
      <w:pPr>
        <w:pStyle w:val="Paragraphedeliste"/>
        <w:spacing w:after="0"/>
        <w:jc w:val="both"/>
        <w:rPr>
          <w:u w:val="single"/>
        </w:rPr>
      </w:pPr>
    </w:p>
    <w:p w:rsidR="00EC7845" w:rsidRDefault="00EC7845" w:rsidP="00EC7845">
      <w:pPr>
        <w:spacing w:after="0"/>
        <w:jc w:val="both"/>
      </w:pPr>
    </w:p>
    <w:p w:rsidR="00EC7845" w:rsidRDefault="00DE7F25" w:rsidP="00EC7845">
      <w:pPr>
        <w:pStyle w:val="Paragraphedeliste"/>
        <w:numPr>
          <w:ilvl w:val="0"/>
          <w:numId w:val="2"/>
        </w:numPr>
        <w:spacing w:after="0"/>
        <w:jc w:val="both"/>
      </w:pPr>
      <w:r>
        <w:t>NON DEFINITIF</w:t>
      </w:r>
      <w:r w:rsidR="00EC7845">
        <w:t> :</w:t>
      </w:r>
    </w:p>
    <w:p w:rsidR="000F409A" w:rsidRDefault="00312F35" w:rsidP="000F409A">
      <w:pPr>
        <w:pStyle w:val="Paragraphedeliste"/>
        <w:numPr>
          <w:ilvl w:val="0"/>
          <w:numId w:val="3"/>
        </w:numPr>
        <w:spacing w:after="0"/>
        <w:jc w:val="both"/>
      </w:pPr>
      <w:r>
        <w:t>Provisoire</w:t>
      </w:r>
      <w:r w:rsidR="00EC7845">
        <w:t xml:space="preserve"> : </w:t>
      </w:r>
      <w:r w:rsidR="00513C04">
        <w:t>226 951</w:t>
      </w:r>
      <w:r w:rsidR="00EC7845">
        <w:t xml:space="preserve"> €</w:t>
      </w:r>
    </w:p>
    <w:p w:rsidR="00EC7845" w:rsidRDefault="00EC7845" w:rsidP="00EC7845">
      <w:pPr>
        <w:spacing w:after="0"/>
        <w:jc w:val="both"/>
      </w:pPr>
    </w:p>
    <w:p w:rsidR="000F409A" w:rsidRPr="009D7872" w:rsidRDefault="000F409A" w:rsidP="00EC7845">
      <w:pPr>
        <w:spacing w:after="0"/>
        <w:jc w:val="both"/>
        <w:rPr>
          <w:b/>
          <w:u w:val="single"/>
        </w:rPr>
      </w:pPr>
      <w:r w:rsidRPr="009D7872">
        <w:rPr>
          <w:b/>
          <w:u w:val="single"/>
        </w:rPr>
        <w:t>S</w:t>
      </w:r>
      <w:r w:rsidR="00312F35">
        <w:rPr>
          <w:b/>
          <w:u w:val="single"/>
        </w:rPr>
        <w:t>oit un passif</w:t>
      </w:r>
      <w:r w:rsidR="00861686">
        <w:rPr>
          <w:b/>
          <w:u w:val="single"/>
        </w:rPr>
        <w:t xml:space="preserve"> total de </w:t>
      </w:r>
      <w:r w:rsidR="00513C04">
        <w:rPr>
          <w:b/>
          <w:u w:val="single"/>
        </w:rPr>
        <w:t>87 731 + 226 951</w:t>
      </w:r>
      <w:r w:rsidRPr="009D7872">
        <w:rPr>
          <w:b/>
          <w:u w:val="single"/>
        </w:rPr>
        <w:t xml:space="preserve"> = </w:t>
      </w:r>
      <w:r w:rsidR="00513C04">
        <w:rPr>
          <w:b/>
          <w:u w:val="single"/>
        </w:rPr>
        <w:t>314 682</w:t>
      </w:r>
      <w:r w:rsidR="009D7872" w:rsidRPr="009D7872">
        <w:rPr>
          <w:b/>
          <w:u w:val="single"/>
        </w:rPr>
        <w:t xml:space="preserve"> €</w:t>
      </w:r>
      <w:r w:rsidRPr="009D7872">
        <w:rPr>
          <w:b/>
          <w:u w:val="single"/>
        </w:rPr>
        <w:t xml:space="preserve"> </w:t>
      </w:r>
    </w:p>
    <w:p w:rsidR="00EC7845" w:rsidRDefault="00EC7845" w:rsidP="00EC7845">
      <w:pPr>
        <w:spacing w:after="0"/>
        <w:jc w:val="both"/>
      </w:pPr>
    </w:p>
    <w:p w:rsidR="009C5312" w:rsidRDefault="009C5312" w:rsidP="00BB7A79">
      <w:pPr>
        <w:spacing w:after="0"/>
        <w:jc w:val="both"/>
      </w:pPr>
    </w:p>
    <w:p w:rsidR="003F585E" w:rsidRDefault="003F585E" w:rsidP="00BB7A79">
      <w:pPr>
        <w:spacing w:after="0"/>
        <w:jc w:val="both"/>
      </w:pPr>
    </w:p>
    <w:p w:rsidR="003F585E" w:rsidRDefault="003F585E" w:rsidP="00BB7A79">
      <w:pPr>
        <w:spacing w:after="0"/>
        <w:jc w:val="both"/>
      </w:pPr>
    </w:p>
    <w:p w:rsidR="003F585E" w:rsidRDefault="003F585E" w:rsidP="00BB7A79">
      <w:pPr>
        <w:spacing w:after="0"/>
        <w:jc w:val="both"/>
      </w:pPr>
    </w:p>
    <w:p w:rsidR="003F585E" w:rsidRDefault="003F585E" w:rsidP="00BB7A79">
      <w:pPr>
        <w:spacing w:after="0"/>
        <w:jc w:val="both"/>
      </w:pPr>
    </w:p>
    <w:p w:rsidR="00513C04" w:rsidRDefault="00513C04" w:rsidP="00BB7A79">
      <w:pPr>
        <w:spacing w:after="0"/>
        <w:jc w:val="both"/>
      </w:pPr>
    </w:p>
    <w:p w:rsidR="00513C04" w:rsidRDefault="00513C04" w:rsidP="00BB7A79">
      <w:pPr>
        <w:spacing w:after="0"/>
        <w:jc w:val="both"/>
      </w:pPr>
    </w:p>
    <w:p w:rsidR="00513C04" w:rsidRDefault="00513C04" w:rsidP="00BB7A79">
      <w:pPr>
        <w:spacing w:after="0"/>
        <w:jc w:val="both"/>
      </w:pPr>
    </w:p>
    <w:p w:rsidR="003F585E" w:rsidRDefault="003F585E" w:rsidP="00BB7A79">
      <w:pPr>
        <w:spacing w:after="0"/>
        <w:jc w:val="both"/>
      </w:pPr>
    </w:p>
    <w:p w:rsidR="003F585E" w:rsidRDefault="003F585E" w:rsidP="00BB7A79">
      <w:pPr>
        <w:spacing w:after="0"/>
        <w:jc w:val="both"/>
      </w:pPr>
    </w:p>
    <w:p w:rsidR="00D46BE7" w:rsidRPr="00FC0543" w:rsidRDefault="00D46BE7" w:rsidP="00BB7A79">
      <w:pPr>
        <w:spacing w:after="0"/>
        <w:jc w:val="both"/>
      </w:pPr>
    </w:p>
    <w:p w:rsidR="00D841B9" w:rsidRDefault="00FC1487" w:rsidP="00BB7A79">
      <w:pPr>
        <w:spacing w:after="0"/>
        <w:jc w:val="both"/>
        <w:rPr>
          <w:u w:val="single"/>
        </w:rPr>
      </w:pPr>
      <w:r>
        <w:rPr>
          <w:u w:val="single"/>
        </w:rPr>
        <w:lastRenderedPageBreak/>
        <w:t>7</w:t>
      </w:r>
      <w:r w:rsidR="00D841B9">
        <w:rPr>
          <w:u w:val="single"/>
        </w:rPr>
        <w:t>°) PROPOSITIONS D’APUREMENT DU PASSIF :</w:t>
      </w:r>
    </w:p>
    <w:p w:rsidR="00D46BE7" w:rsidRDefault="00D46BE7" w:rsidP="00BB7A79">
      <w:pPr>
        <w:spacing w:after="0"/>
        <w:jc w:val="both"/>
        <w:rPr>
          <w:u w:val="single"/>
        </w:rPr>
      </w:pPr>
    </w:p>
    <w:p w:rsidR="004470E3" w:rsidRDefault="004470E3" w:rsidP="00BB7A79">
      <w:pPr>
        <w:spacing w:after="0"/>
        <w:jc w:val="both"/>
      </w:pPr>
      <w:r>
        <w:t xml:space="preserve">M. </w:t>
      </w:r>
      <w:r w:rsidR="001E5CFF">
        <w:t>Martin</w:t>
      </w:r>
      <w:r>
        <w:t xml:space="preserve"> </w:t>
      </w:r>
      <w:r w:rsidR="00F601AC">
        <w:t>effectuera</w:t>
      </w:r>
      <w:r>
        <w:t xml:space="preserve"> le paiem</w:t>
      </w:r>
      <w:r w:rsidR="001E5CFF">
        <w:t>en</w:t>
      </w:r>
      <w:r w:rsidR="008E782C">
        <w:t>t des créances de moins de 500</w:t>
      </w:r>
      <w:r>
        <w:t xml:space="preserve"> euros dès l’</w:t>
      </w:r>
      <w:r w:rsidR="00F601AC">
        <w:t>adoption du plan</w:t>
      </w:r>
      <w:r w:rsidR="001E5CFF">
        <w:t xml:space="preserve"> de redressement</w:t>
      </w:r>
      <w:r>
        <w:t>.</w:t>
      </w:r>
    </w:p>
    <w:p w:rsidR="009D7872" w:rsidRDefault="009D7872" w:rsidP="00BB7A79">
      <w:pPr>
        <w:spacing w:after="0"/>
        <w:jc w:val="both"/>
      </w:pPr>
    </w:p>
    <w:p w:rsidR="009F52E4" w:rsidRPr="001E5CFF" w:rsidRDefault="00DE7F25" w:rsidP="001E5CFF">
      <w:pPr>
        <w:spacing w:after="0"/>
        <w:jc w:val="both"/>
      </w:pPr>
      <w:r>
        <w:t xml:space="preserve">Il est proposé que le passif </w:t>
      </w:r>
      <w:r w:rsidR="00C801C4">
        <w:t>restant soit apuré en 6</w:t>
      </w:r>
      <w:bookmarkStart w:id="0" w:name="_GoBack"/>
      <w:bookmarkEnd w:id="0"/>
      <w:r w:rsidR="001E5CFF">
        <w:t xml:space="preserve"> échéances</w:t>
      </w:r>
      <w:r w:rsidR="009F52E4" w:rsidRPr="001E5CFF">
        <w:t>, à la date d’anniversaire de l’acceptation du plan de redressement.</w:t>
      </w:r>
    </w:p>
    <w:p w:rsidR="009F52E4" w:rsidRPr="001E5CFF" w:rsidRDefault="009F52E4" w:rsidP="009F52E4">
      <w:pPr>
        <w:pStyle w:val="Paragraphedeliste"/>
        <w:ind w:left="2160"/>
      </w:pPr>
    </w:p>
    <w:p w:rsidR="009F52E4" w:rsidRDefault="009F52E4" w:rsidP="009F52E4">
      <w:pPr>
        <w:pStyle w:val="Paragraphedeliste"/>
        <w:ind w:left="2160"/>
      </w:pPr>
    </w:p>
    <w:p w:rsidR="009F52E4" w:rsidRDefault="009F52E4" w:rsidP="009F52E4">
      <w:r>
        <w:t>Nous aurions donc le plan de remboursement ci-dessous :</w:t>
      </w:r>
    </w:p>
    <w:p w:rsidR="009F52E4" w:rsidRDefault="009F52E4" w:rsidP="009F52E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DE7F25" w:rsidTr="009F52E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25" w:rsidRDefault="00DE7F25">
            <w:pPr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25" w:rsidRDefault="00DE7F25">
            <w:pPr>
              <w:rPr>
                <w:b/>
              </w:rPr>
            </w:pPr>
            <w:r>
              <w:rPr>
                <w:b/>
              </w:rPr>
              <w:t>Taux de Remboursement</w:t>
            </w:r>
          </w:p>
        </w:tc>
      </w:tr>
      <w:tr w:rsidR="00DE7F25" w:rsidTr="009F52E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25" w:rsidRDefault="00460DB2">
            <w:pPr>
              <w:jc w:val="right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25" w:rsidRDefault="00994FF5">
            <w:pPr>
              <w:jc w:val="right"/>
            </w:pPr>
            <w:r>
              <w:t>10</w:t>
            </w:r>
            <w:r w:rsidR="00DE7F25">
              <w:t xml:space="preserve"> %</w:t>
            </w:r>
          </w:p>
        </w:tc>
      </w:tr>
      <w:tr w:rsidR="00DE7F25" w:rsidTr="009F52E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25" w:rsidRDefault="00460DB2">
            <w:pPr>
              <w:jc w:val="right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25" w:rsidRDefault="00C801C4">
            <w:pPr>
              <w:jc w:val="right"/>
            </w:pPr>
            <w:r>
              <w:t>18</w:t>
            </w:r>
            <w:r w:rsidR="00DE7F25">
              <w:t xml:space="preserve"> %</w:t>
            </w:r>
          </w:p>
        </w:tc>
      </w:tr>
      <w:tr w:rsidR="00DE7F25" w:rsidTr="009F52E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25" w:rsidRDefault="00460DB2">
            <w:pPr>
              <w:jc w:val="right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25" w:rsidRDefault="00C801C4">
            <w:pPr>
              <w:jc w:val="right"/>
            </w:pPr>
            <w:r>
              <w:t>18</w:t>
            </w:r>
            <w:r w:rsidR="00DE7F25">
              <w:t xml:space="preserve"> %</w:t>
            </w:r>
          </w:p>
        </w:tc>
      </w:tr>
      <w:tr w:rsidR="00DE7F25" w:rsidTr="009F52E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25" w:rsidRDefault="00460DB2">
            <w:pPr>
              <w:jc w:val="right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25" w:rsidRDefault="00C801C4">
            <w:pPr>
              <w:jc w:val="right"/>
            </w:pPr>
            <w:r>
              <w:t>18</w:t>
            </w:r>
            <w:r w:rsidR="00DE7F25">
              <w:t xml:space="preserve"> %</w:t>
            </w:r>
          </w:p>
        </w:tc>
      </w:tr>
      <w:tr w:rsidR="00DE7F25" w:rsidTr="009F52E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25" w:rsidRDefault="00460DB2">
            <w:pPr>
              <w:jc w:val="right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25" w:rsidRDefault="00C801C4">
            <w:pPr>
              <w:jc w:val="right"/>
            </w:pPr>
            <w:r>
              <w:t>18</w:t>
            </w:r>
            <w:r w:rsidR="00DE7F25">
              <w:t xml:space="preserve"> %</w:t>
            </w:r>
          </w:p>
        </w:tc>
      </w:tr>
      <w:tr w:rsidR="00DE7F25" w:rsidTr="009F52E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25" w:rsidRDefault="00460DB2">
            <w:pPr>
              <w:jc w:val="right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25" w:rsidRDefault="00C801C4">
            <w:pPr>
              <w:jc w:val="right"/>
            </w:pPr>
            <w:r>
              <w:t>18</w:t>
            </w:r>
            <w:r w:rsidR="00DE7F25">
              <w:t xml:space="preserve"> %</w:t>
            </w:r>
          </w:p>
        </w:tc>
      </w:tr>
    </w:tbl>
    <w:p w:rsidR="009F52E4" w:rsidRDefault="009F52E4" w:rsidP="00BB7A79">
      <w:pPr>
        <w:spacing w:after="0"/>
        <w:jc w:val="both"/>
      </w:pPr>
    </w:p>
    <w:p w:rsidR="004470E3" w:rsidRDefault="004470E3" w:rsidP="00BB7A79">
      <w:pPr>
        <w:spacing w:after="0"/>
        <w:jc w:val="both"/>
      </w:pPr>
    </w:p>
    <w:p w:rsidR="004470E3" w:rsidRDefault="004470E3" w:rsidP="00BB7A79">
      <w:pPr>
        <w:spacing w:after="0"/>
        <w:jc w:val="both"/>
      </w:pPr>
      <w:r>
        <w:t>La date d’exigibilité du pacte sera la date anniversaire homologuée dans le plan.</w:t>
      </w:r>
    </w:p>
    <w:p w:rsidR="004470E3" w:rsidRDefault="004470E3" w:rsidP="00BB7A79">
      <w:pPr>
        <w:spacing w:after="0"/>
        <w:jc w:val="both"/>
      </w:pPr>
    </w:p>
    <w:p w:rsidR="009D7872" w:rsidRDefault="009D7872" w:rsidP="00BB7A79">
      <w:pPr>
        <w:spacing w:after="0"/>
        <w:jc w:val="both"/>
      </w:pPr>
    </w:p>
    <w:p w:rsidR="00460DB2" w:rsidRDefault="00460DB2" w:rsidP="00BB7A79">
      <w:pPr>
        <w:spacing w:after="0"/>
        <w:jc w:val="both"/>
      </w:pPr>
    </w:p>
    <w:p w:rsidR="006E55D4" w:rsidRDefault="006E55D4" w:rsidP="00BB7A79">
      <w:pPr>
        <w:spacing w:after="0"/>
        <w:jc w:val="both"/>
      </w:pPr>
    </w:p>
    <w:p w:rsidR="00BD685E" w:rsidRDefault="00F601AC" w:rsidP="006D0EF1">
      <w:pPr>
        <w:spacing w:after="0"/>
      </w:pPr>
      <w:r>
        <w:tab/>
      </w:r>
      <w:r w:rsidR="001E5CFF">
        <w:tab/>
      </w:r>
      <w:r w:rsidR="001E5CFF">
        <w:tab/>
      </w:r>
      <w:r w:rsidR="001E5CFF">
        <w:tab/>
      </w:r>
      <w:r w:rsidR="001E5CFF">
        <w:tab/>
      </w:r>
      <w:r w:rsidR="001E5CFF">
        <w:tab/>
        <w:t>Fait à Bordeaux</w:t>
      </w:r>
      <w:r w:rsidR="00DC7E90">
        <w:t xml:space="preserve"> le </w:t>
      </w:r>
      <w:r w:rsidR="00B80DA6">
        <w:t>29/03/2022</w:t>
      </w:r>
      <w:r w:rsidR="00BD685E">
        <w:t>.</w:t>
      </w:r>
    </w:p>
    <w:p w:rsidR="00BD685E" w:rsidRPr="00D46BE7" w:rsidRDefault="00BD685E" w:rsidP="006D0EF1">
      <w:pPr>
        <w:spacing w:after="0"/>
      </w:pPr>
      <w:r>
        <w:tab/>
      </w:r>
      <w:r w:rsidR="00F601AC">
        <w:tab/>
      </w:r>
      <w:r>
        <w:tab/>
      </w:r>
      <w:r w:rsidR="006A105C">
        <w:tab/>
      </w:r>
      <w:r w:rsidR="006A105C">
        <w:tab/>
      </w:r>
      <w:r w:rsidR="006A105C">
        <w:tab/>
      </w:r>
      <w:r>
        <w:t>En trois exemplaires</w:t>
      </w:r>
    </w:p>
    <w:sectPr w:rsidR="00BD685E" w:rsidRPr="00D46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CA4"/>
    <w:multiLevelType w:val="hybridMultilevel"/>
    <w:tmpl w:val="B2AAC058"/>
    <w:lvl w:ilvl="0" w:tplc="28548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6B5F"/>
    <w:multiLevelType w:val="hybridMultilevel"/>
    <w:tmpl w:val="C5DE59DC"/>
    <w:lvl w:ilvl="0" w:tplc="0CC8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66C8"/>
    <w:multiLevelType w:val="hybridMultilevel"/>
    <w:tmpl w:val="C7C44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119FE"/>
    <w:multiLevelType w:val="hybridMultilevel"/>
    <w:tmpl w:val="FFD64A94"/>
    <w:lvl w:ilvl="0" w:tplc="2854836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E4D2E"/>
    <w:multiLevelType w:val="hybridMultilevel"/>
    <w:tmpl w:val="7110F900"/>
    <w:lvl w:ilvl="0" w:tplc="EFB2FEC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254F3"/>
    <w:multiLevelType w:val="hybridMultilevel"/>
    <w:tmpl w:val="BB7C0836"/>
    <w:lvl w:ilvl="0" w:tplc="28548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B10"/>
    <w:multiLevelType w:val="hybridMultilevel"/>
    <w:tmpl w:val="F0E63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60B2"/>
    <w:multiLevelType w:val="hybridMultilevel"/>
    <w:tmpl w:val="962E0C0A"/>
    <w:lvl w:ilvl="0" w:tplc="A96C45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F3984"/>
    <w:multiLevelType w:val="hybridMultilevel"/>
    <w:tmpl w:val="5EF07248"/>
    <w:lvl w:ilvl="0" w:tplc="A774A00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33F8C"/>
    <w:multiLevelType w:val="hybridMultilevel"/>
    <w:tmpl w:val="790A1850"/>
    <w:lvl w:ilvl="0" w:tplc="10665530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9"/>
    <w:rsid w:val="00020391"/>
    <w:rsid w:val="000F409A"/>
    <w:rsid w:val="001034CF"/>
    <w:rsid w:val="0010433A"/>
    <w:rsid w:val="00104684"/>
    <w:rsid w:val="001157F3"/>
    <w:rsid w:val="00141BC7"/>
    <w:rsid w:val="00190978"/>
    <w:rsid w:val="001E5CFF"/>
    <w:rsid w:val="00240B8A"/>
    <w:rsid w:val="002A7A96"/>
    <w:rsid w:val="002C39B3"/>
    <w:rsid w:val="002F217D"/>
    <w:rsid w:val="002F5BBC"/>
    <w:rsid w:val="00312F35"/>
    <w:rsid w:val="00316AF4"/>
    <w:rsid w:val="003433BE"/>
    <w:rsid w:val="00353DA9"/>
    <w:rsid w:val="003B613E"/>
    <w:rsid w:val="003D36BC"/>
    <w:rsid w:val="003F585E"/>
    <w:rsid w:val="00404074"/>
    <w:rsid w:val="004470E3"/>
    <w:rsid w:val="00454654"/>
    <w:rsid w:val="00460DB2"/>
    <w:rsid w:val="00494F58"/>
    <w:rsid w:val="004D14B8"/>
    <w:rsid w:val="005002CF"/>
    <w:rsid w:val="00513C04"/>
    <w:rsid w:val="00581B30"/>
    <w:rsid w:val="00603FD2"/>
    <w:rsid w:val="00650320"/>
    <w:rsid w:val="00655F75"/>
    <w:rsid w:val="00680CBE"/>
    <w:rsid w:val="006A105C"/>
    <w:rsid w:val="006A1704"/>
    <w:rsid w:val="006D0EF1"/>
    <w:rsid w:val="006E55D4"/>
    <w:rsid w:val="006F4111"/>
    <w:rsid w:val="00726D20"/>
    <w:rsid w:val="00787B52"/>
    <w:rsid w:val="007D467E"/>
    <w:rsid w:val="00811D2E"/>
    <w:rsid w:val="00861686"/>
    <w:rsid w:val="00873765"/>
    <w:rsid w:val="008D323E"/>
    <w:rsid w:val="008E782C"/>
    <w:rsid w:val="00911216"/>
    <w:rsid w:val="00925E7B"/>
    <w:rsid w:val="00936EC6"/>
    <w:rsid w:val="0096164D"/>
    <w:rsid w:val="009822BE"/>
    <w:rsid w:val="00994FF5"/>
    <w:rsid w:val="009C5312"/>
    <w:rsid w:val="009D7872"/>
    <w:rsid w:val="009F52E4"/>
    <w:rsid w:val="00A2646B"/>
    <w:rsid w:val="00AD6152"/>
    <w:rsid w:val="00AE0F77"/>
    <w:rsid w:val="00B0145A"/>
    <w:rsid w:val="00B148D8"/>
    <w:rsid w:val="00B4483C"/>
    <w:rsid w:val="00B80DA6"/>
    <w:rsid w:val="00BA5E2A"/>
    <w:rsid w:val="00BB7A79"/>
    <w:rsid w:val="00BC3F7E"/>
    <w:rsid w:val="00BD345D"/>
    <w:rsid w:val="00BD685E"/>
    <w:rsid w:val="00C1231E"/>
    <w:rsid w:val="00C21034"/>
    <w:rsid w:val="00C7255A"/>
    <w:rsid w:val="00C801C4"/>
    <w:rsid w:val="00CA163B"/>
    <w:rsid w:val="00D14C91"/>
    <w:rsid w:val="00D30D76"/>
    <w:rsid w:val="00D46BE7"/>
    <w:rsid w:val="00D54F70"/>
    <w:rsid w:val="00D841B9"/>
    <w:rsid w:val="00DC7E90"/>
    <w:rsid w:val="00DE7F25"/>
    <w:rsid w:val="00E60489"/>
    <w:rsid w:val="00EA7A70"/>
    <w:rsid w:val="00EB62A1"/>
    <w:rsid w:val="00EC7845"/>
    <w:rsid w:val="00F601AC"/>
    <w:rsid w:val="00F7573C"/>
    <w:rsid w:val="00FC0543"/>
    <w:rsid w:val="00F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CB069-B9C2-489C-BC1E-14AD6C4D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33BE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4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9ED54B42</Template>
  <TotalTime>973</TotalTime>
  <Pages>3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CANDELON</dc:creator>
  <cp:keywords/>
  <dc:description/>
  <cp:lastModifiedBy>Mathieu CHAUVET</cp:lastModifiedBy>
  <cp:revision>68</cp:revision>
  <cp:lastPrinted>2017-12-28T14:56:00Z</cp:lastPrinted>
  <dcterms:created xsi:type="dcterms:W3CDTF">2016-04-01T09:18:00Z</dcterms:created>
  <dcterms:modified xsi:type="dcterms:W3CDTF">2022-03-31T12:42:00Z</dcterms:modified>
</cp:coreProperties>
</file>