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51001/</w:t>
    </w:r>
    <w:r>
      <w:rPr>
        <w:sz w:val="16"/>
        <w:szCs w:val="16"/>
      </w:rPr>
      <w:t>CM</w:t>
    </w:r>
    <w:r w:rsidR="004A4708">
      <w:rPr>
        <w:sz w:val="16"/>
        <w:szCs w:val="16"/>
      </w:rPr>
      <w:t>/ANLA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du </w:t>
    </w:r>
    <w:r w:rsidRPr="00AE075B">
      <w:rPr>
        <w:rFonts w:ascii="Arial" w:hAnsi="Arial" w:cs="Arial"/>
        <w:sz w:val="16"/>
        <w:szCs w:val="16"/>
      </w:rPr>
      <w:t>31/07/2026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ARTEMIS AMENAGEMENT SAS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15, Route de la Grande Prairie Domaine de la Rivière 16120 GRAVES-SAINT-AMANT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