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49417/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23/04/2026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COIFF'D SAS </w:t>
    </w:r>
    <w:r w:rsidRPr="002D6D35">
      <w:rPr>
        <w:rFonts w:ascii="Arial" w:hAnsi="Arial" w:cs="Arial"/>
        <w:i/>
        <w:iCs/>
        <w:sz w:val="16"/>
        <w:szCs w:val="16"/>
      </w:rPr>
      <w:t>VIP COIFFURE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115 avenue du Général de Gaulle  16800 SOYAUX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