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61B01BE7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3C2B4F73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6493C325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SARL CENTRE CANIN KREOPOLITAIN</w:t>
      </w:r>
    </w:p>
    <w:p w:rsidRPr="0048000D" w:rsidR="00D80E64" w:rsidP="002D1EA5" w:rsidRDefault="00AC5E06" w14:paraId="13B25084" w14:textId="671D697A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742055">
        <w:rPr>
          <w:rFonts w:ascii="Arial" w:hAnsi="Arial" w:cs="Arial"/>
          <w:smallCaps/>
          <w:color w:val="0070C0"/>
          <w:sz w:val="22"/>
          <w:szCs w:val="22"/>
        </w:rPr>
        <w:t>4-2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3AC784E9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1342B7E3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01953FC2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55BBA31B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1A6D3467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 de la cession</w:t>
      </w:r>
    </w:p>
    <w:p w:rsidRPr="0048000D" w:rsidR="00D80E64" w:rsidP="00B036AD" w:rsidRDefault="00D80E64" w14:paraId="6A802071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E30746" w14:paraId="506984C3" w14:textId="6B766222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SARL CENTRE CANIN KREOPOLITAIN, </w:t>
      </w:r>
      <w:r w:rsidRPr="0048000D" w:rsidR="00D008C0">
        <w:rPr>
          <w:rFonts w:ascii="Arial" w:hAnsi="Arial" w:cs="Arial"/>
          <w:sz w:val="22"/>
          <w:szCs w:val="22"/>
        </w:rPr>
        <w:t>les éléments mobiliers d’une activité d</w:t>
      </w:r>
      <w:r w:rsidR="00742055">
        <w:rPr>
          <w:rFonts w:ascii="Arial" w:hAnsi="Arial" w:cs="Arial"/>
          <w:sz w:val="22"/>
          <w:szCs w:val="22"/>
        </w:rPr>
        <w:t>’é</w:t>
      </w:r>
      <w:r w:rsidRPr="0048000D" w:rsidR="00D008C0">
        <w:rPr>
          <w:rFonts w:ascii="Arial" w:hAnsi="Arial" w:cs="Arial"/>
          <w:sz w:val="22"/>
          <w:szCs w:val="22"/>
        </w:rPr>
        <w:t xml:space="preserve">ducation canine, sur la base du procès-verbal d’inventaire </w:t>
      </w:r>
      <w:r w:rsidR="00C9552A">
        <w:rPr>
          <w:rFonts w:ascii="Arial" w:hAnsi="Arial" w:cs="Arial"/>
          <w:sz w:val="22"/>
          <w:szCs w:val="22"/>
        </w:rPr>
        <w:t>dressé par le Commissaire de Justice</w:t>
      </w:r>
      <w:r w:rsidRPr="0048000D" w:rsidR="00D008C0">
        <w:rPr>
          <w:rFonts w:ascii="Arial" w:hAnsi="Arial" w:cs="Arial"/>
          <w:sz w:val="22"/>
          <w:szCs w:val="22"/>
        </w:rPr>
        <w:t xml:space="preserve"> en date du </w:t>
      </w:r>
      <w:r w:rsidRPr="00742055" w:rsidR="00742055">
        <w:rPr>
          <w:rFonts w:ascii="Arial" w:hAnsi="Arial" w:cs="Arial"/>
          <w:bCs/>
          <w:color w:val="000000" w:themeColor="text1"/>
          <w:sz w:val="22"/>
          <w:szCs w:val="22"/>
        </w:rPr>
        <w:t>26.05.2025.</w:t>
      </w:r>
    </w:p>
    <w:p w:rsidRPr="0048000D" w:rsidR="007E7878" w:rsidP="00D008C0" w:rsidRDefault="007E7878" w14:paraId="7B17146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3F761B37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30FEF38F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 exclus du perimetre de la cession</w:t>
      </w:r>
    </w:p>
    <w:p w:rsidRPr="0048000D" w:rsidR="00D008C0" w:rsidP="00D008C0" w:rsidRDefault="00D008C0" w14:paraId="3FD281FA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09D1232C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373F102C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095C42E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 matériel en crédit-bail, location, dépôt ou objet d’un contrat de prêt, connu ou non à la date des présentes, et qui ne dépend pas de l’actif de la liquidation judiciaire, est exclu de la présente cession ;</w:t>
      </w:r>
    </w:p>
    <w:p w:rsidRPr="0048000D" w:rsidR="00D008C0" w:rsidP="00D008C0" w:rsidRDefault="00D008C0" w14:paraId="337E4B84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0F23CD04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80E64" w:rsidP="00D700F5" w:rsidRDefault="00D80E64" w14:paraId="2BCDB821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E1D821D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1D1547E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54738F87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7056137E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3136C6BB" w14:textId="71D13C82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48000D" w:rsidR="00742055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1D72B47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54816250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742055" w:rsidRDefault="007E7878" w14:paraId="473C9CA1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7B519DE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0524C4AD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48000D" w:rsidP="00742055" w:rsidRDefault="0048000D" w14:paraId="1E95C446" w14:textId="4B91107A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E30746" w:rsidP="00E30746" w:rsidRDefault="00E30746" w14:paraId="72977FE0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911BB66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784EF7D1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885FCDF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1742B8E0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5BB3640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2A1D1D0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9EF5F0C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48000D" w:rsidR="00E30746" w:rsidP="00E30746" w:rsidRDefault="00E30746" w14:paraId="2F1E3078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4362EA8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lastRenderedPageBreak/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1DA8AC5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AE74543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45591121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742055" w:rsidR="00E30746" w:rsidP="00742055" w:rsidRDefault="00E30746" w14:paraId="3B90D122" w14:textId="030B3E11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3DB3C7F7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50B1491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4 – modalites de cession</w:t>
      </w:r>
    </w:p>
    <w:p w:rsidRPr="0048000D" w:rsidR="00E30746" w:rsidP="00E30746" w:rsidRDefault="00E30746" w14:paraId="0520BD3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5408C0B3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6ED5704F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D428C60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48000D" w:rsidR="00E30746" w:rsidP="00E30746" w:rsidRDefault="00E30746" w14:paraId="4D0FF426" w14:textId="77777777">
      <w:pPr>
        <w:jc w:val="both"/>
        <w:rPr>
          <w:rFonts w:ascii="Arial" w:hAnsi="Arial" w:cs="Arial"/>
          <w:sz w:val="22"/>
          <w:szCs w:val="22"/>
        </w:rPr>
      </w:pPr>
    </w:p>
    <w:p w:rsidRPr="00742055" w:rsidR="00E1378E" w:rsidP="00D008C0" w:rsidRDefault="00E30746" w14:paraId="78163543" w14:textId="2478CE5C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s’engage à procéder à l’enlèvement </w:t>
      </w:r>
      <w:r w:rsidRPr="0048000D" w:rsidR="00D008C0">
        <w:rPr>
          <w:rFonts w:ascii="Arial" w:hAnsi="Arial" w:cs="Arial"/>
          <w:sz w:val="22"/>
          <w:szCs w:val="22"/>
        </w:rPr>
        <w:t>d</w:t>
      </w:r>
      <w:r w:rsidRPr="00742055" w:rsidR="00D008C0">
        <w:rPr>
          <w:rFonts w:ascii="Arial" w:hAnsi="Arial" w:cs="Arial"/>
          <w:color w:val="000000" w:themeColor="text1"/>
          <w:sz w:val="22"/>
          <w:szCs w:val="22"/>
        </w:rPr>
        <w:t>u matériel</w:t>
      </w: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742055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742055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742055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742055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742055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742055" w:rsidR="0074205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après la date </w:t>
      </w:r>
      <w:r w:rsidRPr="00742055" w:rsidR="00742055">
        <w:rPr>
          <w:rFonts w:ascii="Arial" w:hAnsi="Arial" w:cs="Arial"/>
          <w:color w:val="000000" w:themeColor="text1"/>
          <w:sz w:val="22"/>
          <w:szCs w:val="22"/>
        </w:rPr>
        <w:t>d’autorisation de</w:t>
      </w: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 la cession</w:t>
      </w:r>
      <w:r w:rsidRPr="00742055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742055" w:rsidR="00D008C0" w:rsidP="00D008C0" w:rsidRDefault="00D008C0" w14:paraId="070634EB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742055" w:rsidR="00E1378E" w:rsidP="00E30746" w:rsidRDefault="00E1378E" w14:paraId="1428CC4D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742055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742055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742055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742055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742055" w:rsidR="00DF5800" w:rsidP="00E30746" w:rsidRDefault="00DF5800" w14:paraId="7C3270E6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48000D" w:rsidR="00DF5800" w:rsidP="00E30746" w:rsidRDefault="00DF5800" w14:paraId="362219F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742055">
        <w:rPr>
          <w:rFonts w:ascii="Arial" w:hAnsi="Arial" w:cs="Arial"/>
          <w:color w:val="000000" w:themeColor="text1"/>
          <w:sz w:val="22"/>
          <w:szCs w:val="22"/>
        </w:rPr>
        <w:t xml:space="preserve">De plus, et à défaut d’enlèvement dans le délai </w:t>
      </w:r>
      <w:r w:rsidRPr="0048000D">
        <w:rPr>
          <w:rFonts w:ascii="Arial" w:hAnsi="Arial" w:cs="Arial"/>
          <w:sz w:val="22"/>
          <w:szCs w:val="22"/>
        </w:rPr>
        <w:t>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554B270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F24C22F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003A56F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5927566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5529FC3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46BCBF10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51FAABC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189D6291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68DB03A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528199A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5E6AED0E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4715103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0E1B2D6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5D52DCD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1DBC7B4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21778A4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0CEACB98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2E8451A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1864CDF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42055" w:rsidP="00E30746" w:rsidRDefault="00742055" w14:paraId="07ECB75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42055" w:rsidP="00E30746" w:rsidRDefault="00742055" w14:paraId="23EACAE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3A976B9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573C7AC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48000D" w:rsidR="00E30746" w:rsidP="00E30746" w:rsidRDefault="00E30746" w14:paraId="463F5A3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0774F11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2C518B3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F55CB7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296B66F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859668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38BDF76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6AC8AEB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2FE27D5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EEF3F8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5B66195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6E6972F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0742E6F4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4055" w14:textId="77777777" w:rsidR="002D1EA5" w:rsidRDefault="002D1EA5" w:rsidP="00677591">
      <w:r>
        <w:separator/>
      </w:r>
    </w:p>
  </w:endnote>
  <w:endnote w:type="continuationSeparator" w:id="0">
    <w:p w14:paraId="7E49BAD3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14FE04C7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7009FD2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7EA2" w14:textId="77777777" w:rsidR="002D1EA5" w:rsidRDefault="002D1EA5" w:rsidP="00677591">
      <w:r>
        <w:separator/>
      </w:r>
    </w:p>
  </w:footnote>
  <w:footnote w:type="continuationSeparator" w:id="0">
    <w:p w14:paraId="48A0720F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771A4725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867320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75659461">
    <w:abstractNumId w:val="8"/>
  </w:num>
  <w:num w:numId="3" w16cid:durableId="941182398">
    <w:abstractNumId w:val="5"/>
  </w:num>
  <w:num w:numId="4" w16cid:durableId="1679775737">
    <w:abstractNumId w:val="3"/>
  </w:num>
  <w:num w:numId="5" w16cid:durableId="139425287">
    <w:abstractNumId w:val="4"/>
  </w:num>
  <w:num w:numId="6" w16cid:durableId="1551309140">
    <w:abstractNumId w:val="2"/>
  </w:num>
  <w:num w:numId="7" w16cid:durableId="1295721069">
    <w:abstractNumId w:val="10"/>
  </w:num>
  <w:num w:numId="8" w16cid:durableId="21824897">
    <w:abstractNumId w:val="9"/>
  </w:num>
  <w:num w:numId="9" w16cid:durableId="1198203809">
    <w:abstractNumId w:val="7"/>
  </w:num>
  <w:num w:numId="10" w16cid:durableId="20147985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9882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104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666711">
    <w:abstractNumId w:val="1"/>
  </w:num>
  <w:num w:numId="14" w16cid:durableId="67457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055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C6139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3C106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2025-06-05T14:33:00Z</dcterms:modified>
</cp:coreProperties>
</file>